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207E" w14:textId="0A9B28E4" w:rsidR="00B70866" w:rsidRPr="00620602" w:rsidRDefault="008463B4" w:rsidP="005D5822">
      <w:pPr>
        <w:shd w:val="clear" w:color="auto" w:fill="FFFFFF"/>
        <w:spacing w:after="0" w:line="240" w:lineRule="auto"/>
        <w:jc w:val="center"/>
        <w:rPr>
          <w:rFonts w:ascii="inherit" w:eastAsia="Times New Roman" w:hAnsi="inherit" w:cs="Calibri"/>
          <w:b/>
          <w:bCs/>
          <w:color w:val="201F1E"/>
          <w:sz w:val="30"/>
          <w:szCs w:val="28"/>
          <w:bdr w:val="none" w:sz="0" w:space="0" w:color="auto" w:frame="1"/>
        </w:rPr>
      </w:pPr>
      <w:r w:rsidRPr="00620602">
        <w:rPr>
          <w:noProof/>
          <w:sz w:val="20"/>
          <w:szCs w:val="20"/>
        </w:rPr>
        <w:drawing>
          <wp:inline distT="0" distB="0" distL="0" distR="0" wp14:anchorId="254B23F0" wp14:editId="5D25B4EF">
            <wp:extent cx="450850" cy="584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584200"/>
                    </a:xfrm>
                    <a:prstGeom prst="rect">
                      <a:avLst/>
                    </a:prstGeom>
                    <a:noFill/>
                    <a:ln>
                      <a:noFill/>
                    </a:ln>
                  </pic:spPr>
                </pic:pic>
              </a:graphicData>
            </a:graphic>
          </wp:inline>
        </w:drawing>
      </w:r>
    </w:p>
    <w:p w14:paraId="700D0045" w14:textId="007D116D" w:rsidR="005D5822" w:rsidRPr="00620602" w:rsidRDefault="005D5822" w:rsidP="005D5822">
      <w:pPr>
        <w:shd w:val="clear" w:color="auto" w:fill="FFFFFF"/>
        <w:spacing w:after="0" w:line="240" w:lineRule="auto"/>
        <w:jc w:val="center"/>
        <w:rPr>
          <w:rFonts w:ascii="Segoe UI" w:eastAsia="Times New Roman" w:hAnsi="Segoe UI" w:cs="Segoe UI"/>
          <w:color w:val="201F1E"/>
        </w:rPr>
      </w:pPr>
      <w:r w:rsidRPr="00620602">
        <w:rPr>
          <w:rFonts w:ascii="inherit" w:eastAsia="Times New Roman" w:hAnsi="inherit" w:cs="Calibri"/>
          <w:b/>
          <w:bCs/>
          <w:color w:val="201F1E"/>
          <w:sz w:val="30"/>
          <w:szCs w:val="28"/>
          <w:bdr w:val="none" w:sz="0" w:space="0" w:color="auto" w:frame="1"/>
        </w:rPr>
        <w:t>LUPIN LIMITED</w:t>
      </w:r>
    </w:p>
    <w:p w14:paraId="3DD04F8D" w14:textId="77777777" w:rsidR="005D5822" w:rsidRPr="00620602" w:rsidRDefault="005D5822" w:rsidP="005D5822">
      <w:pPr>
        <w:shd w:val="clear" w:color="auto" w:fill="FFFFFF"/>
        <w:spacing w:after="0" w:line="240" w:lineRule="auto"/>
        <w:jc w:val="center"/>
        <w:rPr>
          <w:rFonts w:ascii="Segoe UI" w:eastAsia="Times New Roman" w:hAnsi="Segoe UI" w:cs="Segoe UI"/>
          <w:color w:val="201F1E"/>
        </w:rPr>
      </w:pPr>
      <w:r w:rsidRPr="00620602">
        <w:rPr>
          <w:rFonts w:ascii="inherit" w:eastAsia="Times New Roman" w:hAnsi="inherit" w:cs="Calibri"/>
          <w:b/>
          <w:bCs/>
          <w:color w:val="201F1E"/>
          <w:bdr w:val="none" w:sz="0" w:space="0" w:color="auto" w:frame="1"/>
        </w:rPr>
        <w:t>Registered Office:</w:t>
      </w:r>
      <w:r w:rsidRPr="00620602">
        <w:rPr>
          <w:rFonts w:ascii="inherit" w:eastAsia="Times New Roman" w:hAnsi="inherit" w:cs="Calibri" w:hint="eastAsia"/>
          <w:color w:val="201F1E"/>
          <w:bdr w:val="none" w:sz="0" w:space="0" w:color="auto" w:frame="1"/>
        </w:rPr>
        <w:t> </w:t>
      </w:r>
      <w:r w:rsidRPr="00620602">
        <w:rPr>
          <w:rFonts w:ascii="inherit" w:eastAsia="Times New Roman" w:hAnsi="inherit" w:cs="Calibri"/>
          <w:color w:val="201F1E"/>
          <w:bdr w:val="none" w:sz="0" w:space="0" w:color="auto" w:frame="1"/>
        </w:rPr>
        <w:t>3</w:t>
      </w:r>
      <w:r w:rsidRPr="00620602">
        <w:rPr>
          <w:rFonts w:ascii="inherit" w:eastAsia="Times New Roman" w:hAnsi="inherit" w:cs="Calibri"/>
          <w:color w:val="201F1E"/>
          <w:bdr w:val="none" w:sz="0" w:space="0" w:color="auto" w:frame="1"/>
          <w:vertAlign w:val="superscript"/>
        </w:rPr>
        <w:t>rd</w:t>
      </w:r>
      <w:r w:rsidRPr="00620602">
        <w:rPr>
          <w:rFonts w:ascii="inherit" w:eastAsia="Times New Roman" w:hAnsi="inherit" w:cs="Calibri" w:hint="eastAsia"/>
          <w:color w:val="201F1E"/>
          <w:bdr w:val="none" w:sz="0" w:space="0" w:color="auto" w:frame="1"/>
        </w:rPr>
        <w:t> </w:t>
      </w:r>
      <w:r w:rsidRPr="00620602">
        <w:rPr>
          <w:rFonts w:ascii="inherit" w:eastAsia="Times New Roman" w:hAnsi="inherit" w:cs="Calibri"/>
          <w:color w:val="201F1E"/>
          <w:bdr w:val="none" w:sz="0" w:space="0" w:color="auto" w:frame="1"/>
        </w:rPr>
        <w:t xml:space="preserve">Floor, </w:t>
      </w:r>
      <w:proofErr w:type="spellStart"/>
      <w:r w:rsidRPr="00620602">
        <w:rPr>
          <w:rFonts w:ascii="inherit" w:eastAsia="Times New Roman" w:hAnsi="inherit" w:cs="Calibri"/>
          <w:color w:val="201F1E"/>
          <w:bdr w:val="none" w:sz="0" w:space="0" w:color="auto" w:frame="1"/>
        </w:rPr>
        <w:t>Kalpataru</w:t>
      </w:r>
      <w:proofErr w:type="spellEnd"/>
      <w:r w:rsidRPr="00620602">
        <w:rPr>
          <w:rFonts w:ascii="inherit" w:eastAsia="Times New Roman" w:hAnsi="inherit" w:cs="Calibri"/>
          <w:color w:val="201F1E"/>
          <w:bdr w:val="none" w:sz="0" w:space="0" w:color="auto" w:frame="1"/>
        </w:rPr>
        <w:t xml:space="preserve"> Inspire,</w:t>
      </w:r>
      <w:r w:rsidRPr="00620602">
        <w:rPr>
          <w:rFonts w:ascii="inherit" w:eastAsia="Times New Roman" w:hAnsi="inherit" w:cs="Calibri" w:hint="eastAsia"/>
          <w:color w:val="201F1E"/>
          <w:bdr w:val="none" w:sz="0" w:space="0" w:color="auto" w:frame="1"/>
        </w:rPr>
        <w:t> </w:t>
      </w:r>
      <w:r w:rsidRPr="00620602">
        <w:rPr>
          <w:rFonts w:ascii="inherit" w:eastAsia="Times New Roman" w:hAnsi="inherit" w:cs="Calibri"/>
          <w:color w:val="201F1E"/>
          <w:bdr w:val="none" w:sz="0" w:space="0" w:color="auto" w:frame="1"/>
        </w:rPr>
        <w:t>Off Western Express Highway,</w:t>
      </w:r>
    </w:p>
    <w:p w14:paraId="7B88B10E" w14:textId="77777777" w:rsidR="005D5822" w:rsidRPr="00620602" w:rsidRDefault="005D5822" w:rsidP="005D5822">
      <w:pPr>
        <w:shd w:val="clear" w:color="auto" w:fill="FFFFFF"/>
        <w:spacing w:after="0" w:line="240" w:lineRule="auto"/>
        <w:jc w:val="center"/>
        <w:rPr>
          <w:rFonts w:ascii="Segoe UI" w:eastAsia="Times New Roman" w:hAnsi="Segoe UI" w:cs="Segoe UI"/>
          <w:color w:val="201F1E"/>
        </w:rPr>
      </w:pPr>
      <w:r w:rsidRPr="00620602">
        <w:rPr>
          <w:rFonts w:ascii="inherit" w:eastAsia="Times New Roman" w:hAnsi="inherit" w:cs="Calibri"/>
          <w:color w:val="201F1E"/>
          <w:bdr w:val="none" w:sz="0" w:space="0" w:color="auto" w:frame="1"/>
        </w:rPr>
        <w:t>Santacruz (East), Mumbai - 400 055;</w:t>
      </w:r>
      <w:r w:rsidRPr="00620602">
        <w:rPr>
          <w:rFonts w:ascii="inherit" w:eastAsia="Times New Roman" w:hAnsi="inherit" w:cs="Calibri" w:hint="eastAsia"/>
          <w:color w:val="201F1E"/>
          <w:bdr w:val="none" w:sz="0" w:space="0" w:color="auto" w:frame="1"/>
        </w:rPr>
        <w:t> </w:t>
      </w:r>
      <w:r w:rsidRPr="00620602">
        <w:rPr>
          <w:rFonts w:ascii="inherit" w:eastAsia="Times New Roman" w:hAnsi="inherit" w:cs="Calibri"/>
          <w:b/>
          <w:bCs/>
          <w:color w:val="201F1E"/>
          <w:bdr w:val="none" w:sz="0" w:space="0" w:color="auto" w:frame="1"/>
        </w:rPr>
        <w:t>CIN:</w:t>
      </w:r>
      <w:r w:rsidRPr="00620602">
        <w:rPr>
          <w:rFonts w:ascii="inherit" w:eastAsia="Times New Roman" w:hAnsi="inherit" w:cs="Calibri" w:hint="eastAsia"/>
          <w:color w:val="201F1E"/>
          <w:bdr w:val="none" w:sz="0" w:space="0" w:color="auto" w:frame="1"/>
        </w:rPr>
        <w:t> </w:t>
      </w:r>
      <w:r w:rsidRPr="00620602">
        <w:rPr>
          <w:rFonts w:ascii="inherit" w:eastAsia="Times New Roman" w:hAnsi="inherit" w:cs="Calibri"/>
          <w:color w:val="201F1E"/>
          <w:bdr w:val="none" w:sz="0" w:space="0" w:color="auto" w:frame="1"/>
        </w:rPr>
        <w:t>L24100MH1983PLC029442</w:t>
      </w:r>
    </w:p>
    <w:p w14:paraId="45FD6850" w14:textId="77777777" w:rsidR="005D5822" w:rsidRPr="00620602" w:rsidRDefault="005D5822" w:rsidP="005D5822">
      <w:pPr>
        <w:shd w:val="clear" w:color="auto" w:fill="FFFFFF"/>
        <w:spacing w:after="0" w:line="240" w:lineRule="auto"/>
        <w:jc w:val="center"/>
        <w:rPr>
          <w:rFonts w:ascii="Segoe UI" w:eastAsia="Times New Roman" w:hAnsi="Segoe UI" w:cs="Segoe UI"/>
          <w:color w:val="201F1E"/>
        </w:rPr>
      </w:pPr>
      <w:r w:rsidRPr="00620602">
        <w:rPr>
          <w:rFonts w:ascii="Calibri" w:eastAsia="Times New Roman" w:hAnsi="Calibri" w:cs="Calibri"/>
          <w:b/>
          <w:bCs/>
          <w:color w:val="000000"/>
          <w:bdr w:val="none" w:sz="0" w:space="0" w:color="auto" w:frame="1"/>
        </w:rPr>
        <w:t>Tel: </w:t>
      </w:r>
      <w:r w:rsidRPr="00620602">
        <w:rPr>
          <w:rFonts w:ascii="Calibri" w:eastAsia="Times New Roman" w:hAnsi="Calibri" w:cs="Calibri"/>
          <w:color w:val="000000"/>
          <w:bdr w:val="none" w:sz="0" w:space="0" w:color="auto" w:frame="1"/>
        </w:rPr>
        <w:t>+91 22 6640 2323;</w:t>
      </w:r>
      <w:r w:rsidRPr="00620602">
        <w:rPr>
          <w:rFonts w:ascii="Calibri" w:eastAsia="Times New Roman" w:hAnsi="Calibri" w:cs="Calibri"/>
          <w:b/>
          <w:bCs/>
          <w:color w:val="000000"/>
          <w:bdr w:val="none" w:sz="0" w:space="0" w:color="auto" w:frame="1"/>
        </w:rPr>
        <w:t> Ext: </w:t>
      </w:r>
      <w:r w:rsidRPr="00620602">
        <w:rPr>
          <w:rFonts w:ascii="Calibri" w:eastAsia="Times New Roman" w:hAnsi="Calibri" w:cs="Calibri"/>
          <w:color w:val="000000"/>
          <w:bdr w:val="none" w:sz="0" w:space="0" w:color="auto" w:frame="1"/>
        </w:rPr>
        <w:t>2402/2403</w:t>
      </w:r>
    </w:p>
    <w:p w14:paraId="25979337" w14:textId="77777777" w:rsidR="005D5822" w:rsidRPr="00620602" w:rsidRDefault="005D5822" w:rsidP="005D5822">
      <w:pPr>
        <w:shd w:val="clear" w:color="auto" w:fill="FFFFFF"/>
        <w:spacing w:after="0" w:line="240" w:lineRule="auto"/>
        <w:jc w:val="center"/>
        <w:rPr>
          <w:rFonts w:ascii="Segoe UI" w:eastAsia="Times New Roman" w:hAnsi="Segoe UI" w:cs="Segoe UI"/>
          <w:color w:val="201F1E"/>
        </w:rPr>
      </w:pPr>
      <w:r w:rsidRPr="00620602">
        <w:rPr>
          <w:rFonts w:ascii="inherit" w:eastAsia="Times New Roman" w:hAnsi="inherit" w:cs="Calibri"/>
          <w:b/>
          <w:bCs/>
          <w:color w:val="000000"/>
          <w:bdr w:val="none" w:sz="0" w:space="0" w:color="auto" w:frame="1"/>
        </w:rPr>
        <w:t>Email:</w:t>
      </w:r>
      <w:r w:rsidRPr="00620602">
        <w:rPr>
          <w:rFonts w:ascii="inherit" w:eastAsia="Times New Roman" w:hAnsi="inherit" w:cs="Calibri" w:hint="eastAsia"/>
          <w:color w:val="000000"/>
          <w:bdr w:val="none" w:sz="0" w:space="0" w:color="auto" w:frame="1"/>
        </w:rPr>
        <w:t> </w:t>
      </w:r>
      <w:hyperlink r:id="rId9" w:tgtFrame="_blank" w:history="1">
        <w:r w:rsidRPr="00620602">
          <w:rPr>
            <w:rFonts w:ascii="inherit" w:eastAsia="Times New Roman" w:hAnsi="inherit" w:cs="Calibri"/>
            <w:color w:val="0000FF"/>
            <w:u w:val="single"/>
            <w:bdr w:val="none" w:sz="0" w:space="0" w:color="auto" w:frame="1"/>
          </w:rPr>
          <w:t>investorservices@lupin.com</w:t>
        </w:r>
      </w:hyperlink>
      <w:r w:rsidRPr="00620602">
        <w:rPr>
          <w:rFonts w:ascii="inherit" w:eastAsia="Times New Roman" w:hAnsi="inherit" w:cs="Calibri"/>
          <w:color w:val="201F1E"/>
          <w:bdr w:val="none" w:sz="0" w:space="0" w:color="auto" w:frame="1"/>
        </w:rPr>
        <w:t>;</w:t>
      </w:r>
      <w:r w:rsidRPr="00620602">
        <w:rPr>
          <w:rFonts w:ascii="inherit" w:eastAsia="Times New Roman" w:hAnsi="inherit" w:cs="Calibri" w:hint="eastAsia"/>
          <w:color w:val="000000"/>
          <w:bdr w:val="none" w:sz="0" w:space="0" w:color="auto" w:frame="1"/>
        </w:rPr>
        <w:t> </w:t>
      </w:r>
      <w:r w:rsidRPr="00620602">
        <w:rPr>
          <w:rFonts w:ascii="inherit" w:eastAsia="Times New Roman" w:hAnsi="inherit" w:cs="Calibri"/>
          <w:b/>
          <w:bCs/>
          <w:color w:val="201F1E"/>
          <w:bdr w:val="none" w:sz="0" w:space="0" w:color="auto" w:frame="1"/>
        </w:rPr>
        <w:t>Website:</w:t>
      </w:r>
      <w:r w:rsidRPr="00620602">
        <w:rPr>
          <w:rFonts w:ascii="inherit" w:eastAsia="Times New Roman" w:hAnsi="inherit" w:cs="Calibri" w:hint="eastAsia"/>
          <w:color w:val="201F1E"/>
          <w:bdr w:val="none" w:sz="0" w:space="0" w:color="auto" w:frame="1"/>
        </w:rPr>
        <w:t> </w:t>
      </w:r>
      <w:hyperlink r:id="rId10" w:tgtFrame="_blank" w:history="1">
        <w:r w:rsidRPr="00620602">
          <w:rPr>
            <w:rFonts w:ascii="inherit" w:eastAsia="Times New Roman" w:hAnsi="inherit" w:cs="Calibri"/>
            <w:color w:val="0000FF"/>
            <w:u w:val="single"/>
            <w:bdr w:val="none" w:sz="0" w:space="0" w:color="auto" w:frame="1"/>
          </w:rPr>
          <w:t>www.lupin.com</w:t>
        </w:r>
      </w:hyperlink>
    </w:p>
    <w:p w14:paraId="42F769C4" w14:textId="77777777" w:rsidR="005D5822" w:rsidRPr="00620602" w:rsidRDefault="005D5822" w:rsidP="005D5822">
      <w:pPr>
        <w:shd w:val="clear" w:color="auto" w:fill="FFFFFF"/>
        <w:spacing w:after="0" w:line="240" w:lineRule="auto"/>
        <w:rPr>
          <w:rFonts w:ascii="Segoe UI" w:eastAsia="Times New Roman" w:hAnsi="Segoe UI" w:cs="Segoe UI"/>
          <w:color w:val="201F1E"/>
        </w:rPr>
      </w:pPr>
      <w:r w:rsidRPr="00620602">
        <w:rPr>
          <w:rFonts w:ascii="Calibri" w:eastAsia="Times New Roman" w:hAnsi="Calibri" w:cs="Calibri"/>
          <w:color w:val="201F1E"/>
          <w:bdr w:val="none" w:sz="0" w:space="0" w:color="auto" w:frame="1"/>
        </w:rPr>
        <w:t> </w:t>
      </w:r>
    </w:p>
    <w:p w14:paraId="28A1544E" w14:textId="00D506C2" w:rsidR="005D5822" w:rsidRPr="00620602" w:rsidRDefault="005D5822" w:rsidP="005D5822">
      <w:pPr>
        <w:shd w:val="clear" w:color="auto" w:fill="FFFFFF"/>
        <w:spacing w:after="0" w:line="240" w:lineRule="auto"/>
        <w:jc w:val="right"/>
        <w:rPr>
          <w:rFonts w:ascii="Segoe UI" w:eastAsia="Times New Roman" w:hAnsi="Segoe UI" w:cs="Segoe UI"/>
          <w:color w:val="201F1E"/>
        </w:rPr>
      </w:pPr>
      <w:r w:rsidRPr="00620602">
        <w:rPr>
          <w:rFonts w:ascii="inherit" w:eastAsia="Times New Roman" w:hAnsi="inherit" w:cs="Calibri"/>
          <w:color w:val="000000"/>
          <w:bdr w:val="none" w:sz="0" w:space="0" w:color="auto" w:frame="1"/>
          <w:lang w:val="en-IN"/>
        </w:rPr>
        <w:t>Date:</w:t>
      </w:r>
      <w:r w:rsidR="00B26CD5" w:rsidRPr="00620602">
        <w:rPr>
          <w:rFonts w:ascii="inherit" w:eastAsia="Times New Roman" w:hAnsi="inherit" w:cs="Calibri"/>
          <w:color w:val="000000"/>
          <w:sz w:val="18"/>
          <w:szCs w:val="18"/>
          <w:bdr w:val="none" w:sz="0" w:space="0" w:color="auto" w:frame="1"/>
          <w:lang w:val="en-IN"/>
        </w:rPr>
        <w:t xml:space="preserve"> </w:t>
      </w:r>
      <w:r w:rsidR="005D597A">
        <w:rPr>
          <w:rFonts w:ascii="inherit" w:eastAsia="Times New Roman" w:hAnsi="inherit" w:cs="Calibri"/>
          <w:color w:val="000000"/>
          <w:sz w:val="20"/>
          <w:szCs w:val="20"/>
          <w:bdr w:val="none" w:sz="0" w:space="0" w:color="auto" w:frame="1"/>
          <w:lang w:val="en-IN"/>
        </w:rPr>
        <w:t>00</w:t>
      </w:r>
      <w:r w:rsidR="00B26CD5" w:rsidRPr="00620602">
        <w:rPr>
          <w:rFonts w:ascii="inherit" w:eastAsia="Times New Roman" w:hAnsi="inherit" w:cs="Calibri"/>
          <w:color w:val="000000"/>
          <w:sz w:val="20"/>
          <w:szCs w:val="20"/>
          <w:bdr w:val="none" w:sz="0" w:space="0" w:color="auto" w:frame="1"/>
          <w:lang w:val="en-IN"/>
        </w:rPr>
        <w:t>/06/202</w:t>
      </w:r>
      <w:r w:rsidR="00213C7C">
        <w:rPr>
          <w:rFonts w:ascii="inherit" w:eastAsia="Times New Roman" w:hAnsi="inherit" w:cs="Calibri"/>
          <w:color w:val="000000"/>
          <w:sz w:val="20"/>
          <w:szCs w:val="20"/>
          <w:bdr w:val="none" w:sz="0" w:space="0" w:color="auto" w:frame="1"/>
          <w:lang w:val="en-IN"/>
        </w:rPr>
        <w:t>4</w:t>
      </w:r>
    </w:p>
    <w:p w14:paraId="502BEE7B" w14:textId="77777777" w:rsidR="005D5822" w:rsidRPr="00620602" w:rsidRDefault="005D5822" w:rsidP="005D5822">
      <w:pPr>
        <w:shd w:val="clear" w:color="auto" w:fill="FFFFFF"/>
        <w:spacing w:after="0" w:line="240" w:lineRule="auto"/>
        <w:jc w:val="both"/>
        <w:rPr>
          <w:rFonts w:ascii="Segoe UI" w:eastAsia="Times New Roman" w:hAnsi="Segoe UI" w:cs="Segoe UI"/>
          <w:color w:val="201F1E"/>
        </w:rPr>
      </w:pPr>
      <w:r w:rsidRPr="00620602">
        <w:rPr>
          <w:rFonts w:ascii="inherit" w:eastAsia="Times New Roman" w:hAnsi="inherit" w:cs="Calibri" w:hint="eastAsia"/>
          <w:color w:val="000000"/>
          <w:bdr w:val="none" w:sz="0" w:space="0" w:color="auto" w:frame="1"/>
          <w:lang w:val="en-IN"/>
        </w:rPr>
        <w:t> </w:t>
      </w:r>
    </w:p>
    <w:p w14:paraId="4068BCBA" w14:textId="63F2ADEC"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000000"/>
          <w:sz w:val="20"/>
          <w:szCs w:val="20"/>
          <w:bdr w:val="none" w:sz="0" w:space="0" w:color="auto" w:frame="1"/>
          <w:lang w:val="en-IN"/>
        </w:rPr>
        <w:t>Folio No. / DP I</w:t>
      </w:r>
      <w:r w:rsidR="005254CA" w:rsidRPr="00620602">
        <w:rPr>
          <w:rFonts w:ascii="Century Gothic" w:eastAsia="Times New Roman" w:hAnsi="Century Gothic" w:cs="Calibri"/>
          <w:color w:val="000000"/>
          <w:sz w:val="20"/>
          <w:szCs w:val="20"/>
          <w:bdr w:val="none" w:sz="0" w:space="0" w:color="auto" w:frame="1"/>
          <w:lang w:val="en-IN"/>
        </w:rPr>
        <w:t>D</w:t>
      </w:r>
      <w:r w:rsidRPr="00620602">
        <w:rPr>
          <w:rFonts w:ascii="Century Gothic" w:eastAsia="Times New Roman" w:hAnsi="Century Gothic" w:cs="Calibri"/>
          <w:color w:val="000000"/>
          <w:sz w:val="20"/>
          <w:szCs w:val="20"/>
          <w:bdr w:val="none" w:sz="0" w:space="0" w:color="auto" w:frame="1"/>
          <w:lang w:val="en-IN"/>
        </w:rPr>
        <w:t xml:space="preserve"> &amp; Client I</w:t>
      </w:r>
      <w:r w:rsidR="005254CA" w:rsidRPr="00620602">
        <w:rPr>
          <w:rFonts w:ascii="Century Gothic" w:eastAsia="Times New Roman" w:hAnsi="Century Gothic" w:cs="Calibri"/>
          <w:color w:val="000000"/>
          <w:sz w:val="20"/>
          <w:szCs w:val="20"/>
          <w:bdr w:val="none" w:sz="0" w:space="0" w:color="auto" w:frame="1"/>
          <w:lang w:val="en-IN"/>
        </w:rPr>
        <w:t>D</w:t>
      </w:r>
      <w:r w:rsidRPr="00620602">
        <w:rPr>
          <w:rFonts w:ascii="Century Gothic" w:eastAsia="Times New Roman" w:hAnsi="Century Gothic" w:cs="Calibri"/>
          <w:color w:val="000000"/>
          <w:sz w:val="20"/>
          <w:szCs w:val="20"/>
          <w:bdr w:val="none" w:sz="0" w:space="0" w:color="auto" w:frame="1"/>
          <w:lang w:val="en-IN"/>
        </w:rPr>
        <w:t xml:space="preserve">: </w:t>
      </w:r>
    </w:p>
    <w:p w14:paraId="0D1CEF75" w14:textId="2CA8638C"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000000"/>
          <w:sz w:val="20"/>
          <w:szCs w:val="20"/>
          <w:bdr w:val="none" w:sz="0" w:space="0" w:color="auto" w:frame="1"/>
          <w:lang w:val="en-IN"/>
        </w:rPr>
        <w:t xml:space="preserve">Name of the Member: </w:t>
      </w:r>
    </w:p>
    <w:p w14:paraId="2A1B24B6" w14:textId="77777777" w:rsidR="005D5822" w:rsidRPr="00620602" w:rsidRDefault="005D5822" w:rsidP="005D5822">
      <w:pPr>
        <w:shd w:val="clear" w:color="auto" w:fill="FFFFFF"/>
        <w:spacing w:after="0" w:line="240" w:lineRule="auto"/>
        <w:rPr>
          <w:rFonts w:ascii="Century Gothic" w:eastAsia="Times New Roman" w:hAnsi="Century Gothic" w:cs="Segoe UI"/>
          <w:color w:val="201F1E"/>
          <w:sz w:val="20"/>
          <w:szCs w:val="20"/>
        </w:rPr>
      </w:pPr>
      <w:r w:rsidRPr="00620602">
        <w:rPr>
          <w:rFonts w:ascii="Century Gothic" w:eastAsia="Times New Roman" w:hAnsi="Century Gothic" w:cs="Calibri"/>
          <w:b/>
          <w:bCs/>
          <w:i/>
          <w:iCs/>
          <w:color w:val="201F1E"/>
          <w:sz w:val="20"/>
          <w:szCs w:val="20"/>
          <w:bdr w:val="none" w:sz="0" w:space="0" w:color="auto" w:frame="1"/>
        </w:rPr>
        <w:t> </w:t>
      </w:r>
    </w:p>
    <w:p w14:paraId="6E5C1F59" w14:textId="77777777" w:rsidR="005D5822" w:rsidRPr="00620602" w:rsidRDefault="005D5822" w:rsidP="005D5822">
      <w:pPr>
        <w:shd w:val="clear" w:color="auto" w:fill="FFFFFF"/>
        <w:spacing w:after="0" w:line="240" w:lineRule="auto"/>
        <w:rPr>
          <w:rFonts w:ascii="Century Gothic" w:eastAsia="Times New Roman" w:hAnsi="Century Gothic" w:cs="Segoe UI"/>
          <w:color w:val="201F1E"/>
          <w:sz w:val="20"/>
          <w:szCs w:val="20"/>
        </w:rPr>
      </w:pPr>
      <w:r w:rsidRPr="00620602">
        <w:rPr>
          <w:rFonts w:ascii="Century Gothic" w:eastAsia="Times New Roman" w:hAnsi="Century Gothic" w:cs="Calibri"/>
          <w:b/>
          <w:bCs/>
          <w:i/>
          <w:iCs/>
          <w:color w:val="201F1E"/>
          <w:sz w:val="20"/>
          <w:szCs w:val="20"/>
          <w:bdr w:val="none" w:sz="0" w:space="0" w:color="auto" w:frame="1"/>
        </w:rPr>
        <w:t>Dear Shareholder,</w:t>
      </w:r>
    </w:p>
    <w:p w14:paraId="5F2B933D" w14:textId="77777777" w:rsidR="005D5822" w:rsidRPr="00620602" w:rsidRDefault="005D5822" w:rsidP="005D5822">
      <w:pPr>
        <w:shd w:val="clear" w:color="auto" w:fill="FFFFFF"/>
        <w:spacing w:after="0" w:line="240" w:lineRule="auto"/>
        <w:rPr>
          <w:rFonts w:ascii="Century Gothic" w:eastAsia="Times New Roman" w:hAnsi="Century Gothic" w:cs="Segoe UI"/>
          <w:color w:val="201F1E"/>
        </w:rPr>
      </w:pPr>
      <w:r w:rsidRPr="00620602">
        <w:rPr>
          <w:rFonts w:ascii="Century Gothic" w:eastAsia="Times New Roman" w:hAnsi="Century Gothic" w:cs="Calibri"/>
          <w:b/>
          <w:bCs/>
          <w:color w:val="201F1E"/>
          <w:bdr w:val="none" w:sz="0" w:space="0" w:color="auto" w:frame="1"/>
        </w:rPr>
        <w:t> </w:t>
      </w:r>
    </w:p>
    <w:p w14:paraId="25BC7962" w14:textId="77777777" w:rsidR="005D5822" w:rsidRPr="00620602" w:rsidRDefault="005D5822" w:rsidP="002C7216">
      <w:pPr>
        <w:shd w:val="clear" w:color="auto" w:fill="FFFFFF"/>
        <w:spacing w:after="0" w:line="240" w:lineRule="auto"/>
        <w:jc w:val="center"/>
        <w:rPr>
          <w:rFonts w:ascii="Century Gothic" w:eastAsia="Times New Roman" w:hAnsi="Century Gothic" w:cs="Segoe UI"/>
          <w:color w:val="201F1E"/>
          <w:sz w:val="20"/>
          <w:szCs w:val="20"/>
        </w:rPr>
      </w:pPr>
      <w:r w:rsidRPr="00620602">
        <w:rPr>
          <w:rFonts w:ascii="Century Gothic" w:eastAsia="Times New Roman" w:hAnsi="Century Gothic" w:cs="Calibri"/>
          <w:b/>
          <w:bCs/>
          <w:color w:val="323130"/>
          <w:sz w:val="20"/>
          <w:szCs w:val="20"/>
          <w:bdr w:val="none" w:sz="0" w:space="0" w:color="auto" w:frame="1"/>
        </w:rPr>
        <w:t>Sub: </w:t>
      </w:r>
      <w:r w:rsidRPr="00620602">
        <w:rPr>
          <w:rFonts w:ascii="Century Gothic" w:eastAsia="Times New Roman" w:hAnsi="Century Gothic" w:cs="Calibri"/>
          <w:b/>
          <w:bCs/>
          <w:color w:val="000000"/>
          <w:sz w:val="20"/>
          <w:szCs w:val="20"/>
          <w:bdr w:val="none" w:sz="0" w:space="0" w:color="auto" w:frame="1"/>
        </w:rPr>
        <w:t>Communication in respect of deduction of tax at source on dividend payout.</w:t>
      </w:r>
    </w:p>
    <w:p w14:paraId="4A895F7F"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rPr>
      </w:pPr>
      <w:r w:rsidRPr="00620602">
        <w:rPr>
          <w:rFonts w:ascii="Century Gothic" w:eastAsia="Times New Roman" w:hAnsi="Century Gothic" w:cs="Calibri"/>
          <w:color w:val="201F1E"/>
          <w:bdr w:val="none" w:sz="0" w:space="0" w:color="auto" w:frame="1"/>
        </w:rPr>
        <w:t> </w:t>
      </w:r>
    </w:p>
    <w:p w14:paraId="13215C23" w14:textId="1BC13FA0"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lang w:val="en-IN"/>
        </w:rPr>
        <w:t xml:space="preserve">We are pleased to inform you that the Board of Directors, at their meeting held on May </w:t>
      </w:r>
      <w:r w:rsidR="00D91CCC">
        <w:rPr>
          <w:rFonts w:ascii="Century Gothic" w:eastAsia="Times New Roman" w:hAnsi="Century Gothic" w:cs="Calibri"/>
          <w:color w:val="201F1E"/>
          <w:sz w:val="20"/>
          <w:szCs w:val="20"/>
          <w:bdr w:val="none" w:sz="0" w:space="0" w:color="auto" w:frame="1"/>
          <w:lang w:val="en-IN"/>
        </w:rPr>
        <w:t>6</w:t>
      </w:r>
      <w:r w:rsidR="003D6DC7" w:rsidRPr="00620602">
        <w:rPr>
          <w:rFonts w:ascii="Century Gothic" w:eastAsia="Times New Roman" w:hAnsi="Century Gothic" w:cs="Calibri"/>
          <w:color w:val="201F1E"/>
          <w:sz w:val="20"/>
          <w:szCs w:val="20"/>
          <w:bdr w:val="none" w:sz="0" w:space="0" w:color="auto" w:frame="1"/>
          <w:lang w:val="en-IN"/>
        </w:rPr>
        <w:t xml:space="preserve">, </w:t>
      </w:r>
      <w:r w:rsidR="003D6DC7" w:rsidRPr="001A5AC1">
        <w:rPr>
          <w:rFonts w:ascii="Century Gothic" w:eastAsia="Times New Roman" w:hAnsi="Century Gothic" w:cs="Calibri"/>
          <w:color w:val="201F1E"/>
          <w:sz w:val="20"/>
          <w:szCs w:val="20"/>
          <w:bdr w:val="none" w:sz="0" w:space="0" w:color="auto" w:frame="1"/>
          <w:lang w:val="en-IN"/>
        </w:rPr>
        <w:t>202</w:t>
      </w:r>
      <w:r w:rsidR="00D91CCC">
        <w:rPr>
          <w:rFonts w:ascii="Century Gothic" w:eastAsia="Times New Roman" w:hAnsi="Century Gothic" w:cs="Calibri"/>
          <w:color w:val="201F1E"/>
          <w:sz w:val="20"/>
          <w:szCs w:val="20"/>
          <w:bdr w:val="none" w:sz="0" w:space="0" w:color="auto" w:frame="1"/>
          <w:lang w:val="en-IN"/>
        </w:rPr>
        <w:t>4</w:t>
      </w:r>
      <w:r w:rsidR="001A5AC1">
        <w:rPr>
          <w:rFonts w:ascii="Century Gothic" w:eastAsia="Times New Roman" w:hAnsi="Century Gothic" w:cs="Calibri"/>
          <w:color w:val="201F1E"/>
          <w:sz w:val="20"/>
          <w:szCs w:val="20"/>
          <w:bdr w:val="none" w:sz="0" w:space="0" w:color="auto" w:frame="1"/>
          <w:lang w:val="en-IN"/>
        </w:rPr>
        <w:t xml:space="preserve">, </w:t>
      </w:r>
      <w:r w:rsidRPr="001A5AC1">
        <w:rPr>
          <w:rFonts w:ascii="Century Gothic" w:eastAsia="Times New Roman" w:hAnsi="Century Gothic" w:cs="Calibri"/>
          <w:color w:val="201F1E"/>
          <w:sz w:val="20"/>
          <w:szCs w:val="20"/>
          <w:bdr w:val="none" w:sz="0" w:space="0" w:color="auto" w:frame="1"/>
          <w:lang w:val="en-IN"/>
        </w:rPr>
        <w:t xml:space="preserve">recommended dividend @ </w:t>
      </w:r>
      <w:r w:rsidR="00D91CCC">
        <w:rPr>
          <w:rFonts w:ascii="Century Gothic" w:eastAsia="Times New Roman" w:hAnsi="Century Gothic" w:cs="Calibri"/>
          <w:color w:val="201F1E"/>
          <w:sz w:val="20"/>
          <w:szCs w:val="20"/>
          <w:bdr w:val="none" w:sz="0" w:space="0" w:color="auto" w:frame="1"/>
          <w:lang w:val="en-IN"/>
        </w:rPr>
        <w:t>4</w:t>
      </w:r>
      <w:r w:rsidRPr="001A5AC1">
        <w:rPr>
          <w:rFonts w:ascii="Century Gothic" w:eastAsia="Times New Roman" w:hAnsi="Century Gothic" w:cs="Calibri"/>
          <w:color w:val="201F1E"/>
          <w:sz w:val="20"/>
          <w:szCs w:val="20"/>
          <w:bdr w:val="none" w:sz="0" w:space="0" w:color="auto" w:frame="1"/>
          <w:lang w:val="en-IN"/>
        </w:rPr>
        <w:t>00 % i.e.</w:t>
      </w:r>
      <w:r w:rsidR="003D6DC7" w:rsidRPr="001A5AC1">
        <w:rPr>
          <w:rFonts w:ascii="Century Gothic" w:eastAsia="Times New Roman" w:hAnsi="Century Gothic" w:cs="Calibri"/>
          <w:color w:val="201F1E"/>
          <w:sz w:val="20"/>
          <w:szCs w:val="20"/>
          <w:bdr w:val="none" w:sz="0" w:space="0" w:color="auto" w:frame="1"/>
          <w:lang w:val="en-IN"/>
        </w:rPr>
        <w:t>,</w:t>
      </w:r>
      <w:r w:rsidRPr="001A5AC1">
        <w:rPr>
          <w:rFonts w:ascii="Century Gothic" w:eastAsia="Times New Roman" w:hAnsi="Century Gothic" w:cs="Calibri"/>
          <w:color w:val="201F1E"/>
          <w:sz w:val="20"/>
          <w:szCs w:val="20"/>
          <w:bdr w:val="none" w:sz="0" w:space="0" w:color="auto" w:frame="1"/>
          <w:lang w:val="en-IN"/>
        </w:rPr>
        <w:t xml:space="preserve"> Rs. </w:t>
      </w:r>
      <w:r w:rsidR="00D91CCC">
        <w:rPr>
          <w:rFonts w:ascii="Century Gothic" w:eastAsia="Times New Roman" w:hAnsi="Century Gothic" w:cs="Calibri"/>
          <w:color w:val="201F1E"/>
          <w:sz w:val="20"/>
          <w:szCs w:val="20"/>
          <w:bdr w:val="none" w:sz="0" w:space="0" w:color="auto" w:frame="1"/>
          <w:lang w:val="en-IN"/>
        </w:rPr>
        <w:t>8</w:t>
      </w:r>
      <w:r w:rsidRPr="001A5AC1">
        <w:rPr>
          <w:rFonts w:ascii="Century Gothic" w:eastAsia="Times New Roman" w:hAnsi="Century Gothic" w:cs="Calibri"/>
          <w:color w:val="201F1E"/>
          <w:sz w:val="20"/>
          <w:szCs w:val="20"/>
          <w:bdr w:val="none" w:sz="0" w:space="0" w:color="auto" w:frame="1"/>
          <w:lang w:val="en-IN"/>
        </w:rPr>
        <w:t>.00 per Equity Share of </w:t>
      </w:r>
      <w:r w:rsidRPr="001A5AC1">
        <w:rPr>
          <w:rFonts w:ascii="Century Gothic" w:eastAsia="Times New Roman" w:hAnsi="Century Gothic" w:cs="Calibri"/>
          <w:color w:val="231F20"/>
          <w:sz w:val="20"/>
          <w:szCs w:val="20"/>
          <w:bdr w:val="none" w:sz="0" w:space="0" w:color="auto" w:frame="1"/>
        </w:rPr>
        <w:t>Rs.</w:t>
      </w:r>
      <w:r w:rsidRPr="001A5AC1">
        <w:rPr>
          <w:rFonts w:ascii="Century Gothic" w:eastAsia="Times New Roman" w:hAnsi="Century Gothic" w:cs="Calibri"/>
          <w:color w:val="201F1E"/>
          <w:sz w:val="20"/>
          <w:szCs w:val="20"/>
          <w:bdr w:val="none" w:sz="0" w:space="0" w:color="auto" w:frame="1"/>
        </w:rPr>
        <w:t> </w:t>
      </w:r>
      <w:r w:rsidRPr="001A5AC1">
        <w:rPr>
          <w:rFonts w:ascii="Century Gothic" w:eastAsia="Times New Roman" w:hAnsi="Century Gothic" w:cs="Calibri"/>
          <w:color w:val="201F1E"/>
          <w:sz w:val="20"/>
          <w:szCs w:val="20"/>
          <w:bdr w:val="none" w:sz="0" w:space="0" w:color="auto" w:frame="1"/>
          <w:lang w:val="en-IN"/>
        </w:rPr>
        <w:t>2/- each for the yea</w:t>
      </w:r>
      <w:r w:rsidRPr="00620602">
        <w:rPr>
          <w:rFonts w:ascii="Century Gothic" w:eastAsia="Times New Roman" w:hAnsi="Century Gothic" w:cs="Calibri"/>
          <w:color w:val="201F1E"/>
          <w:sz w:val="20"/>
          <w:szCs w:val="20"/>
          <w:bdr w:val="none" w:sz="0" w:space="0" w:color="auto" w:frame="1"/>
          <w:lang w:val="en-IN"/>
        </w:rPr>
        <w:t xml:space="preserve">r ended March 31, </w:t>
      </w:r>
      <w:r w:rsidR="003D6DC7" w:rsidRPr="001A5AC1">
        <w:rPr>
          <w:rFonts w:ascii="Century Gothic" w:eastAsia="Times New Roman" w:hAnsi="Century Gothic" w:cs="Calibri"/>
          <w:color w:val="201F1E"/>
          <w:sz w:val="20"/>
          <w:szCs w:val="20"/>
          <w:bdr w:val="none" w:sz="0" w:space="0" w:color="auto" w:frame="1"/>
          <w:lang w:val="en-IN"/>
        </w:rPr>
        <w:t>202</w:t>
      </w:r>
      <w:r w:rsidR="00D91CCC">
        <w:rPr>
          <w:rFonts w:ascii="Century Gothic" w:eastAsia="Times New Roman" w:hAnsi="Century Gothic" w:cs="Calibri"/>
          <w:color w:val="201F1E"/>
          <w:sz w:val="20"/>
          <w:szCs w:val="20"/>
          <w:bdr w:val="none" w:sz="0" w:space="0" w:color="auto" w:frame="1"/>
          <w:lang w:val="en-IN"/>
        </w:rPr>
        <w:t>4</w:t>
      </w:r>
      <w:r w:rsidRPr="001A5AC1">
        <w:rPr>
          <w:rFonts w:ascii="Century Gothic" w:eastAsia="Times New Roman" w:hAnsi="Century Gothic" w:cs="Calibri"/>
          <w:color w:val="201F1E"/>
          <w:sz w:val="20"/>
          <w:szCs w:val="20"/>
          <w:bdr w:val="none" w:sz="0" w:space="0" w:color="auto" w:frame="1"/>
          <w:lang w:val="en-IN"/>
        </w:rPr>
        <w:t xml:space="preserve">, </w:t>
      </w:r>
      <w:r w:rsidRPr="00620602">
        <w:rPr>
          <w:rFonts w:ascii="Century Gothic" w:eastAsia="Times New Roman" w:hAnsi="Century Gothic" w:cs="Calibri"/>
          <w:color w:val="201F1E"/>
          <w:sz w:val="20"/>
          <w:szCs w:val="20"/>
          <w:bdr w:val="none" w:sz="0" w:space="0" w:color="auto" w:frame="1"/>
          <w:lang w:val="en-IN"/>
        </w:rPr>
        <w:t>subject to approval of the shareholders at the ensuing Annual General Meeting.</w:t>
      </w:r>
    </w:p>
    <w:p w14:paraId="01D86BC2"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036A6879" w14:textId="42E50FA3" w:rsidR="0035107B" w:rsidRDefault="005D5822"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lang w:val="en-IN"/>
        </w:rPr>
      </w:pPr>
      <w:r w:rsidRPr="00620602">
        <w:rPr>
          <w:rFonts w:ascii="Century Gothic" w:eastAsia="Times New Roman" w:hAnsi="Century Gothic" w:cs="Calibri"/>
          <w:color w:val="201F1E"/>
          <w:sz w:val="20"/>
          <w:szCs w:val="20"/>
          <w:bdr w:val="none" w:sz="0" w:space="0" w:color="auto" w:frame="1"/>
          <w:lang w:val="en-IN"/>
        </w:rPr>
        <w:t>In accordance with the provisions of the Income Tax Act, 1961</w:t>
      </w:r>
      <w:r w:rsidR="006A3425" w:rsidRPr="00620602">
        <w:rPr>
          <w:rFonts w:ascii="Century Gothic" w:eastAsia="Times New Roman" w:hAnsi="Century Gothic" w:cs="Calibri"/>
          <w:color w:val="201F1E"/>
          <w:sz w:val="20"/>
          <w:szCs w:val="20"/>
          <w:bdr w:val="none" w:sz="0" w:space="0" w:color="auto" w:frame="1"/>
        </w:rPr>
        <w:t xml:space="preserve"> </w:t>
      </w:r>
      <w:r w:rsidR="00F128E5">
        <w:rPr>
          <w:rFonts w:ascii="Century Gothic" w:eastAsia="Times New Roman" w:hAnsi="Century Gothic" w:cs="Calibri"/>
          <w:color w:val="201F1E"/>
          <w:sz w:val="20"/>
          <w:szCs w:val="20"/>
          <w:bdr w:val="none" w:sz="0" w:space="0" w:color="auto" w:frame="1"/>
        </w:rPr>
        <w:t xml:space="preserve">and the Rules framed thereunder, as </w:t>
      </w:r>
      <w:r w:rsidR="00630D43">
        <w:rPr>
          <w:rFonts w:ascii="Century Gothic" w:eastAsia="Times New Roman" w:hAnsi="Century Gothic" w:cs="Calibri"/>
          <w:color w:val="201F1E"/>
          <w:sz w:val="20"/>
          <w:szCs w:val="20"/>
          <w:bdr w:val="none" w:sz="0" w:space="0" w:color="auto" w:frame="1"/>
        </w:rPr>
        <w:t xml:space="preserve">amended by the Finance Act, 2020 (‘the Act’) </w:t>
      </w:r>
      <w:r w:rsidR="006A3425" w:rsidRPr="00620602">
        <w:rPr>
          <w:rFonts w:ascii="Century Gothic" w:eastAsia="Times New Roman" w:hAnsi="Century Gothic" w:cs="Calibri"/>
          <w:color w:val="201F1E"/>
          <w:sz w:val="20"/>
          <w:szCs w:val="20"/>
          <w:bdr w:val="none" w:sz="0" w:space="0" w:color="auto" w:frame="1"/>
        </w:rPr>
        <w:t>dividend income</w:t>
      </w:r>
      <w:r w:rsidR="00620602">
        <w:rPr>
          <w:rFonts w:ascii="Century Gothic" w:eastAsia="Times New Roman" w:hAnsi="Century Gothic" w:cs="Calibri"/>
          <w:color w:val="201F1E"/>
          <w:sz w:val="20"/>
          <w:szCs w:val="20"/>
          <w:bdr w:val="none" w:sz="0" w:space="0" w:color="auto" w:frame="1"/>
        </w:rPr>
        <w:t xml:space="preserve"> </w:t>
      </w:r>
      <w:r w:rsidR="006A3425" w:rsidRPr="00620602">
        <w:rPr>
          <w:rFonts w:ascii="Century Gothic" w:eastAsia="Times New Roman" w:hAnsi="Century Gothic" w:cs="Calibri"/>
          <w:color w:val="201F1E"/>
          <w:sz w:val="20"/>
          <w:szCs w:val="20"/>
          <w:bdr w:val="none" w:sz="0" w:space="0" w:color="auto" w:frame="1"/>
          <w:lang w:val="en-IN"/>
        </w:rPr>
        <w:t xml:space="preserve">is </w:t>
      </w:r>
      <w:r w:rsidRPr="00620602">
        <w:rPr>
          <w:rFonts w:ascii="Century Gothic" w:eastAsia="Times New Roman" w:hAnsi="Century Gothic" w:cs="Calibri"/>
          <w:color w:val="201F1E"/>
          <w:sz w:val="20"/>
          <w:szCs w:val="20"/>
          <w:bdr w:val="none" w:sz="0" w:space="0" w:color="auto" w:frame="1"/>
          <w:lang w:val="en-IN"/>
        </w:rPr>
        <w:t>taxable in the hands of the shareholders. The Company is required to deduct tax at source (</w:t>
      </w:r>
      <w:r w:rsidR="002334EC">
        <w:rPr>
          <w:rFonts w:ascii="Century Gothic" w:eastAsia="Times New Roman" w:hAnsi="Century Gothic" w:cs="Calibri"/>
          <w:color w:val="201F1E"/>
          <w:sz w:val="20"/>
          <w:szCs w:val="20"/>
          <w:bdr w:val="none" w:sz="0" w:space="0" w:color="auto" w:frame="1"/>
          <w:lang w:val="en-IN"/>
        </w:rPr>
        <w:t>‘</w:t>
      </w:r>
      <w:r w:rsidRPr="00620602">
        <w:rPr>
          <w:rFonts w:ascii="Century Gothic" w:eastAsia="Times New Roman" w:hAnsi="Century Gothic" w:cs="Calibri"/>
          <w:color w:val="201F1E"/>
          <w:sz w:val="20"/>
          <w:szCs w:val="20"/>
          <w:bdr w:val="none" w:sz="0" w:space="0" w:color="auto" w:frame="1"/>
          <w:lang w:val="en-IN"/>
        </w:rPr>
        <w:t>TDS</w:t>
      </w:r>
      <w:r w:rsidR="002334EC">
        <w:rPr>
          <w:rFonts w:ascii="Century Gothic" w:eastAsia="Times New Roman" w:hAnsi="Century Gothic" w:cs="Calibri"/>
          <w:color w:val="201F1E"/>
          <w:sz w:val="20"/>
          <w:szCs w:val="20"/>
          <w:bdr w:val="none" w:sz="0" w:space="0" w:color="auto" w:frame="1"/>
          <w:lang w:val="en-IN"/>
        </w:rPr>
        <w:t>’</w:t>
      </w:r>
      <w:r w:rsidRPr="00620602">
        <w:rPr>
          <w:rFonts w:ascii="Century Gothic" w:eastAsia="Times New Roman" w:hAnsi="Century Gothic" w:cs="Calibri"/>
          <w:color w:val="201F1E"/>
          <w:sz w:val="20"/>
          <w:szCs w:val="20"/>
          <w:bdr w:val="none" w:sz="0" w:space="0" w:color="auto" w:frame="1"/>
          <w:lang w:val="en-IN"/>
        </w:rPr>
        <w:t xml:space="preserve">) at rates applicable to each category of shareholders. </w:t>
      </w:r>
    </w:p>
    <w:p w14:paraId="5E2B7E07" w14:textId="77777777" w:rsidR="0035107B" w:rsidRDefault="0035107B"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lang w:val="en-IN"/>
        </w:rPr>
      </w:pPr>
    </w:p>
    <w:p w14:paraId="7A77AD34" w14:textId="0993B3E9" w:rsidR="006E09E3" w:rsidRDefault="0022551A"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lang w:val="en-IN"/>
        </w:rPr>
      </w:pPr>
      <w:r>
        <w:rPr>
          <w:rFonts w:ascii="Century Gothic" w:eastAsia="Times New Roman" w:hAnsi="Century Gothic" w:cs="Calibri"/>
          <w:color w:val="201F1E"/>
          <w:sz w:val="20"/>
          <w:szCs w:val="20"/>
          <w:bdr w:val="none" w:sz="0" w:space="0" w:color="auto" w:frame="1"/>
          <w:lang w:val="en-IN"/>
        </w:rPr>
        <w:t>S</w:t>
      </w:r>
      <w:r w:rsidR="006E09E3" w:rsidRPr="006E09E3">
        <w:rPr>
          <w:rFonts w:ascii="Century Gothic" w:eastAsia="Times New Roman" w:hAnsi="Century Gothic" w:cs="Calibri"/>
          <w:color w:val="201F1E"/>
          <w:sz w:val="20"/>
          <w:szCs w:val="20"/>
          <w:bdr w:val="none" w:sz="0" w:space="0" w:color="auto" w:frame="1"/>
          <w:lang w:val="en-IN"/>
        </w:rPr>
        <w:t>hareholders are requested to ensure that their details with reference to valid Permanent Account Number (</w:t>
      </w:r>
      <w:r w:rsidR="00F90A76">
        <w:rPr>
          <w:rFonts w:ascii="Century Gothic" w:eastAsia="Times New Roman" w:hAnsi="Century Gothic" w:cs="Calibri"/>
          <w:color w:val="201F1E"/>
          <w:sz w:val="20"/>
          <w:szCs w:val="20"/>
          <w:bdr w:val="none" w:sz="0" w:space="0" w:color="auto" w:frame="1"/>
          <w:lang w:val="en-IN"/>
        </w:rPr>
        <w:t>‘</w:t>
      </w:r>
      <w:r w:rsidR="006E09E3" w:rsidRPr="006E09E3">
        <w:rPr>
          <w:rFonts w:ascii="Century Gothic" w:eastAsia="Times New Roman" w:hAnsi="Century Gothic" w:cs="Calibri"/>
          <w:color w:val="201F1E"/>
          <w:sz w:val="20"/>
          <w:szCs w:val="20"/>
          <w:bdr w:val="none" w:sz="0" w:space="0" w:color="auto" w:frame="1"/>
          <w:lang w:val="en-IN"/>
        </w:rPr>
        <w:t>PAN</w:t>
      </w:r>
      <w:r w:rsidR="00F90A76">
        <w:rPr>
          <w:rFonts w:ascii="Century Gothic" w:eastAsia="Times New Roman" w:hAnsi="Century Gothic" w:cs="Calibri"/>
          <w:color w:val="201F1E"/>
          <w:sz w:val="20"/>
          <w:szCs w:val="20"/>
          <w:bdr w:val="none" w:sz="0" w:space="0" w:color="auto" w:frame="1"/>
          <w:lang w:val="en-IN"/>
        </w:rPr>
        <w:t>’</w:t>
      </w:r>
      <w:r w:rsidR="006E09E3" w:rsidRPr="006E09E3">
        <w:rPr>
          <w:rFonts w:ascii="Century Gothic" w:eastAsia="Times New Roman" w:hAnsi="Century Gothic" w:cs="Calibri"/>
          <w:color w:val="201F1E"/>
          <w:sz w:val="20"/>
          <w:szCs w:val="20"/>
          <w:bdr w:val="none" w:sz="0" w:space="0" w:color="auto" w:frame="1"/>
          <w:lang w:val="en-IN"/>
        </w:rPr>
        <w:t xml:space="preserve">), Residential status as per </w:t>
      </w:r>
      <w:r w:rsidR="00251ADB">
        <w:rPr>
          <w:rFonts w:ascii="Century Gothic" w:eastAsia="Times New Roman" w:hAnsi="Century Gothic" w:cs="Calibri"/>
          <w:color w:val="201F1E"/>
          <w:sz w:val="20"/>
          <w:szCs w:val="20"/>
          <w:bdr w:val="none" w:sz="0" w:space="0" w:color="auto" w:frame="1"/>
          <w:lang w:val="en-IN"/>
        </w:rPr>
        <w:t xml:space="preserve">the </w:t>
      </w:r>
      <w:r w:rsidR="006E09E3" w:rsidRPr="006E09E3">
        <w:rPr>
          <w:rFonts w:ascii="Century Gothic" w:eastAsia="Times New Roman" w:hAnsi="Century Gothic" w:cs="Calibri"/>
          <w:color w:val="201F1E"/>
          <w:sz w:val="20"/>
          <w:szCs w:val="20"/>
          <w:bdr w:val="none" w:sz="0" w:space="0" w:color="auto" w:frame="1"/>
          <w:lang w:val="en-IN"/>
        </w:rPr>
        <w:t xml:space="preserve">Act i.e. Resident or Non-Resident as applicable, </w:t>
      </w:r>
      <w:r w:rsidR="00595B87">
        <w:rPr>
          <w:rFonts w:ascii="Century Gothic" w:eastAsia="Times New Roman" w:hAnsi="Century Gothic" w:cs="Calibri"/>
          <w:color w:val="201F1E"/>
          <w:sz w:val="20"/>
          <w:szCs w:val="20"/>
          <w:bdr w:val="none" w:sz="0" w:space="0" w:color="auto" w:frame="1"/>
          <w:lang w:val="en-IN"/>
        </w:rPr>
        <w:t>c</w:t>
      </w:r>
      <w:r w:rsidR="00595B87" w:rsidRPr="006E09E3">
        <w:rPr>
          <w:rFonts w:ascii="Century Gothic" w:eastAsia="Times New Roman" w:hAnsi="Century Gothic" w:cs="Calibri"/>
          <w:color w:val="201F1E"/>
          <w:sz w:val="20"/>
          <w:szCs w:val="20"/>
          <w:bdr w:val="none" w:sz="0" w:space="0" w:color="auto" w:frame="1"/>
          <w:lang w:val="en-IN"/>
        </w:rPr>
        <w:t xml:space="preserve">ategory </w:t>
      </w:r>
      <w:r w:rsidR="006E09E3" w:rsidRPr="006E09E3">
        <w:rPr>
          <w:rFonts w:ascii="Century Gothic" w:eastAsia="Times New Roman" w:hAnsi="Century Gothic" w:cs="Calibri"/>
          <w:color w:val="201F1E"/>
          <w:sz w:val="20"/>
          <w:szCs w:val="20"/>
          <w:bdr w:val="none" w:sz="0" w:space="0" w:color="auto" w:frame="1"/>
          <w:lang w:val="en-IN"/>
        </w:rPr>
        <w:t xml:space="preserve">of their account as per PAN, email/postal address, </w:t>
      </w:r>
      <w:r w:rsidR="003E19EE">
        <w:rPr>
          <w:rFonts w:ascii="Century Gothic" w:eastAsia="Times New Roman" w:hAnsi="Century Gothic" w:cs="Calibri"/>
          <w:color w:val="201F1E"/>
          <w:sz w:val="20"/>
          <w:szCs w:val="20"/>
          <w:bdr w:val="none" w:sz="0" w:space="0" w:color="auto" w:frame="1"/>
          <w:lang w:val="en-IN"/>
        </w:rPr>
        <w:t>b</w:t>
      </w:r>
      <w:r w:rsidR="006E09E3" w:rsidRPr="006E09E3">
        <w:rPr>
          <w:rFonts w:ascii="Century Gothic" w:eastAsia="Times New Roman" w:hAnsi="Century Gothic" w:cs="Calibri"/>
          <w:color w:val="201F1E"/>
          <w:sz w:val="20"/>
          <w:szCs w:val="20"/>
          <w:bdr w:val="none" w:sz="0" w:space="0" w:color="auto" w:frame="1"/>
          <w:lang w:val="en-IN"/>
        </w:rPr>
        <w:t xml:space="preserve">ank </w:t>
      </w:r>
      <w:r w:rsidR="003E19EE">
        <w:rPr>
          <w:rFonts w:ascii="Century Gothic" w:eastAsia="Times New Roman" w:hAnsi="Century Gothic" w:cs="Calibri"/>
          <w:color w:val="201F1E"/>
          <w:sz w:val="20"/>
          <w:szCs w:val="20"/>
          <w:bdr w:val="none" w:sz="0" w:space="0" w:color="auto" w:frame="1"/>
          <w:lang w:val="en-IN"/>
        </w:rPr>
        <w:t>a</w:t>
      </w:r>
      <w:r w:rsidR="006E09E3" w:rsidRPr="006E09E3">
        <w:rPr>
          <w:rFonts w:ascii="Century Gothic" w:eastAsia="Times New Roman" w:hAnsi="Century Gothic" w:cs="Calibri"/>
          <w:color w:val="201F1E"/>
          <w:sz w:val="20"/>
          <w:szCs w:val="20"/>
          <w:bdr w:val="none" w:sz="0" w:space="0" w:color="auto" w:frame="1"/>
          <w:lang w:val="en-IN"/>
        </w:rPr>
        <w:t xml:space="preserve">ccount details are complete/updated, in their account maintained with </w:t>
      </w:r>
      <w:r w:rsidR="00CD4D1A">
        <w:rPr>
          <w:rFonts w:ascii="Century Gothic" w:eastAsia="Times New Roman" w:hAnsi="Century Gothic" w:cs="Calibri"/>
          <w:color w:val="201F1E"/>
          <w:sz w:val="20"/>
          <w:szCs w:val="20"/>
          <w:bdr w:val="none" w:sz="0" w:space="0" w:color="auto" w:frame="1"/>
          <w:lang w:val="en-IN"/>
        </w:rPr>
        <w:t xml:space="preserve">the </w:t>
      </w:r>
      <w:r w:rsidR="006E09E3" w:rsidRPr="006E09E3">
        <w:rPr>
          <w:rFonts w:ascii="Century Gothic" w:eastAsia="Times New Roman" w:hAnsi="Century Gothic" w:cs="Calibri"/>
          <w:color w:val="201F1E"/>
          <w:sz w:val="20"/>
          <w:szCs w:val="20"/>
          <w:bdr w:val="none" w:sz="0" w:space="0" w:color="auto" w:frame="1"/>
          <w:lang w:val="en-IN"/>
        </w:rPr>
        <w:t>Depository Participant (</w:t>
      </w:r>
      <w:r w:rsidR="003E6AE5">
        <w:rPr>
          <w:rFonts w:ascii="Century Gothic" w:eastAsia="Times New Roman" w:hAnsi="Century Gothic" w:cs="Calibri"/>
          <w:color w:val="201F1E"/>
          <w:sz w:val="20"/>
          <w:szCs w:val="20"/>
          <w:bdr w:val="none" w:sz="0" w:space="0" w:color="auto" w:frame="1"/>
          <w:lang w:val="en-IN"/>
        </w:rPr>
        <w:t xml:space="preserve">where  </w:t>
      </w:r>
      <w:r w:rsidR="006E09E3" w:rsidRPr="006E09E3">
        <w:rPr>
          <w:rFonts w:ascii="Century Gothic" w:eastAsia="Times New Roman" w:hAnsi="Century Gothic" w:cs="Calibri"/>
          <w:color w:val="201F1E"/>
          <w:sz w:val="20"/>
          <w:szCs w:val="20"/>
          <w:bdr w:val="none" w:sz="0" w:space="0" w:color="auto" w:frame="1"/>
          <w:lang w:val="en-IN"/>
        </w:rPr>
        <w:t xml:space="preserve">shares </w:t>
      </w:r>
      <w:r w:rsidR="003E6AE5">
        <w:rPr>
          <w:rFonts w:ascii="Century Gothic" w:eastAsia="Times New Roman" w:hAnsi="Century Gothic" w:cs="Calibri"/>
          <w:color w:val="201F1E"/>
          <w:sz w:val="20"/>
          <w:szCs w:val="20"/>
          <w:bdr w:val="none" w:sz="0" w:space="0" w:color="auto" w:frame="1"/>
          <w:lang w:val="en-IN"/>
        </w:rPr>
        <w:t xml:space="preserve">are </w:t>
      </w:r>
      <w:r w:rsidR="006E09E3" w:rsidRPr="006E09E3">
        <w:rPr>
          <w:rFonts w:ascii="Century Gothic" w:eastAsia="Times New Roman" w:hAnsi="Century Gothic" w:cs="Calibri"/>
          <w:color w:val="201F1E"/>
          <w:sz w:val="20"/>
          <w:szCs w:val="20"/>
          <w:bdr w:val="none" w:sz="0" w:space="0" w:color="auto" w:frame="1"/>
          <w:lang w:val="en-IN"/>
        </w:rPr>
        <w:t>held in dematerialised form) with Link Intime India Private Limited</w:t>
      </w:r>
      <w:r w:rsidR="003973CF">
        <w:rPr>
          <w:rFonts w:ascii="Century Gothic" w:eastAsia="Times New Roman" w:hAnsi="Century Gothic" w:cs="Calibri"/>
          <w:color w:val="201F1E"/>
          <w:sz w:val="20"/>
          <w:szCs w:val="20"/>
          <w:bdr w:val="none" w:sz="0" w:space="0" w:color="auto" w:frame="1"/>
          <w:lang w:val="en-IN"/>
        </w:rPr>
        <w:t xml:space="preserve"> (‘Link Intime’)</w:t>
      </w:r>
      <w:r w:rsidR="006E09E3" w:rsidRPr="006E09E3">
        <w:rPr>
          <w:rFonts w:ascii="Century Gothic" w:eastAsia="Times New Roman" w:hAnsi="Century Gothic" w:cs="Calibri"/>
          <w:color w:val="201F1E"/>
          <w:sz w:val="20"/>
          <w:szCs w:val="20"/>
          <w:bdr w:val="none" w:sz="0" w:space="0" w:color="auto" w:frame="1"/>
          <w:lang w:val="en-IN"/>
        </w:rPr>
        <w:t>, the Company’s Registrar &amp; Share Transfer Agent (</w:t>
      </w:r>
      <w:r w:rsidR="00F90A76">
        <w:rPr>
          <w:rFonts w:ascii="Century Gothic" w:eastAsia="Times New Roman" w:hAnsi="Century Gothic" w:cs="Calibri"/>
          <w:color w:val="201F1E"/>
          <w:sz w:val="20"/>
          <w:szCs w:val="20"/>
          <w:bdr w:val="none" w:sz="0" w:space="0" w:color="auto" w:frame="1"/>
          <w:lang w:val="en-IN"/>
        </w:rPr>
        <w:t>‘</w:t>
      </w:r>
      <w:r w:rsidR="006E09E3" w:rsidRPr="006E09E3">
        <w:rPr>
          <w:rFonts w:ascii="Century Gothic" w:eastAsia="Times New Roman" w:hAnsi="Century Gothic" w:cs="Calibri"/>
          <w:color w:val="201F1E"/>
          <w:sz w:val="20"/>
          <w:szCs w:val="20"/>
          <w:bdr w:val="none" w:sz="0" w:space="0" w:color="auto" w:frame="1"/>
          <w:lang w:val="en-IN"/>
        </w:rPr>
        <w:t>RTA</w:t>
      </w:r>
      <w:r w:rsidR="00F90A76">
        <w:rPr>
          <w:rFonts w:ascii="Century Gothic" w:eastAsia="Times New Roman" w:hAnsi="Century Gothic" w:cs="Calibri"/>
          <w:color w:val="201F1E"/>
          <w:sz w:val="20"/>
          <w:szCs w:val="20"/>
          <w:bdr w:val="none" w:sz="0" w:space="0" w:color="auto" w:frame="1"/>
          <w:lang w:val="en-IN"/>
        </w:rPr>
        <w:t>’</w:t>
      </w:r>
      <w:r w:rsidR="006E09E3" w:rsidRPr="006E09E3">
        <w:rPr>
          <w:rFonts w:ascii="Century Gothic" w:eastAsia="Times New Roman" w:hAnsi="Century Gothic" w:cs="Calibri"/>
          <w:color w:val="201F1E"/>
          <w:sz w:val="20"/>
          <w:szCs w:val="20"/>
          <w:bdr w:val="none" w:sz="0" w:space="0" w:color="auto" w:frame="1"/>
          <w:lang w:val="en-IN"/>
        </w:rPr>
        <w:t>)</w:t>
      </w:r>
      <w:r w:rsidR="00A14D61">
        <w:rPr>
          <w:rFonts w:ascii="Century Gothic" w:eastAsia="Times New Roman" w:hAnsi="Century Gothic" w:cs="Calibri"/>
          <w:color w:val="201F1E"/>
          <w:sz w:val="20"/>
          <w:szCs w:val="20"/>
          <w:bdr w:val="none" w:sz="0" w:space="0" w:color="auto" w:frame="1"/>
          <w:lang w:val="en-IN"/>
        </w:rPr>
        <w:t xml:space="preserve"> </w:t>
      </w:r>
      <w:r w:rsidR="0090775E">
        <w:rPr>
          <w:rFonts w:ascii="Century Gothic" w:eastAsia="Times New Roman" w:hAnsi="Century Gothic" w:cs="Calibri"/>
          <w:color w:val="201F1E"/>
          <w:sz w:val="20"/>
          <w:szCs w:val="20"/>
          <w:bdr w:val="none" w:sz="0" w:space="0" w:color="auto" w:frame="1"/>
          <w:lang w:val="en-IN"/>
        </w:rPr>
        <w:t xml:space="preserve">(where </w:t>
      </w:r>
      <w:r w:rsidR="0090775E" w:rsidRPr="006E09E3">
        <w:rPr>
          <w:rFonts w:ascii="Century Gothic" w:eastAsia="Times New Roman" w:hAnsi="Century Gothic" w:cs="Calibri"/>
          <w:color w:val="201F1E"/>
          <w:sz w:val="20"/>
          <w:szCs w:val="20"/>
          <w:bdr w:val="none" w:sz="0" w:space="0" w:color="auto" w:frame="1"/>
          <w:lang w:val="en-IN"/>
        </w:rPr>
        <w:t xml:space="preserve">shares </w:t>
      </w:r>
      <w:r w:rsidR="0090775E">
        <w:rPr>
          <w:rFonts w:ascii="Century Gothic" w:eastAsia="Times New Roman" w:hAnsi="Century Gothic" w:cs="Calibri"/>
          <w:color w:val="201F1E"/>
          <w:sz w:val="20"/>
          <w:szCs w:val="20"/>
          <w:bdr w:val="none" w:sz="0" w:space="0" w:color="auto" w:frame="1"/>
          <w:lang w:val="en-IN"/>
        </w:rPr>
        <w:t xml:space="preserve">are </w:t>
      </w:r>
      <w:r w:rsidR="0090775E" w:rsidRPr="006E09E3">
        <w:rPr>
          <w:rFonts w:ascii="Century Gothic" w:eastAsia="Times New Roman" w:hAnsi="Century Gothic" w:cs="Calibri"/>
          <w:color w:val="201F1E"/>
          <w:sz w:val="20"/>
          <w:szCs w:val="20"/>
          <w:bdr w:val="none" w:sz="0" w:space="0" w:color="auto" w:frame="1"/>
          <w:lang w:val="en-IN"/>
        </w:rPr>
        <w:t>held in physical form</w:t>
      </w:r>
      <w:r w:rsidR="0090775E">
        <w:rPr>
          <w:rFonts w:ascii="Century Gothic" w:eastAsia="Times New Roman" w:hAnsi="Century Gothic" w:cs="Calibri"/>
          <w:color w:val="201F1E"/>
          <w:sz w:val="20"/>
          <w:szCs w:val="20"/>
          <w:bdr w:val="none" w:sz="0" w:space="0" w:color="auto" w:frame="1"/>
          <w:lang w:val="en-IN"/>
        </w:rPr>
        <w:t>)</w:t>
      </w:r>
      <w:r w:rsidR="006E09E3" w:rsidRPr="006E09E3">
        <w:rPr>
          <w:rFonts w:ascii="Century Gothic" w:eastAsia="Times New Roman" w:hAnsi="Century Gothic" w:cs="Calibri"/>
          <w:color w:val="201F1E"/>
          <w:sz w:val="20"/>
          <w:szCs w:val="20"/>
          <w:bdr w:val="none" w:sz="0" w:space="0" w:color="auto" w:frame="1"/>
          <w:lang w:val="en-IN"/>
        </w:rPr>
        <w:t>.</w:t>
      </w:r>
    </w:p>
    <w:p w14:paraId="1112FE63" w14:textId="77777777" w:rsidR="006E09E3" w:rsidRDefault="006E09E3"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lang w:val="en-IN"/>
        </w:rPr>
      </w:pPr>
    </w:p>
    <w:p w14:paraId="66AA9810" w14:textId="70BD372F" w:rsidR="005D5822" w:rsidRPr="00620602" w:rsidRDefault="00512B8B" w:rsidP="005D5822">
      <w:pPr>
        <w:shd w:val="clear" w:color="auto" w:fill="FFFFFF"/>
        <w:spacing w:after="0" w:line="240" w:lineRule="auto"/>
        <w:jc w:val="both"/>
        <w:rPr>
          <w:rFonts w:ascii="Century Gothic" w:eastAsia="Times New Roman" w:hAnsi="Century Gothic" w:cs="Segoe UI"/>
          <w:color w:val="201F1E"/>
          <w:sz w:val="20"/>
          <w:szCs w:val="20"/>
        </w:rPr>
      </w:pPr>
      <w:r w:rsidRPr="00512B8B">
        <w:rPr>
          <w:rFonts w:ascii="Century Gothic" w:eastAsia="Times New Roman" w:hAnsi="Century Gothic" w:cs="Calibri"/>
          <w:color w:val="201F1E"/>
          <w:sz w:val="20"/>
          <w:szCs w:val="20"/>
          <w:bdr w:val="none" w:sz="0" w:space="0" w:color="auto" w:frame="1"/>
          <w:lang w:val="en-IN"/>
        </w:rPr>
        <w:t xml:space="preserve">This communication provides details of the applicable </w:t>
      </w:r>
      <w:r w:rsidR="00860D89" w:rsidRPr="00512B8B">
        <w:rPr>
          <w:rFonts w:ascii="Century Gothic" w:eastAsia="Times New Roman" w:hAnsi="Century Gothic" w:cs="Calibri"/>
          <w:color w:val="201F1E"/>
          <w:sz w:val="20"/>
          <w:szCs w:val="20"/>
          <w:bdr w:val="none" w:sz="0" w:space="0" w:color="auto" w:frame="1"/>
          <w:lang w:val="en-IN"/>
        </w:rPr>
        <w:t>tax deduction at source</w:t>
      </w:r>
      <w:r w:rsidRPr="00512B8B">
        <w:rPr>
          <w:rFonts w:ascii="Century Gothic" w:eastAsia="Times New Roman" w:hAnsi="Century Gothic" w:cs="Calibri"/>
          <w:color w:val="201F1E"/>
          <w:sz w:val="20"/>
          <w:szCs w:val="20"/>
          <w:bdr w:val="none" w:sz="0" w:space="0" w:color="auto" w:frame="1"/>
          <w:lang w:val="en-IN"/>
        </w:rPr>
        <w:t xml:space="preserve"> (</w:t>
      </w:r>
      <w:r w:rsidR="0002158D">
        <w:rPr>
          <w:rFonts w:ascii="Century Gothic" w:eastAsia="Times New Roman" w:hAnsi="Century Gothic" w:cs="Calibri"/>
          <w:color w:val="201F1E"/>
          <w:sz w:val="20"/>
          <w:szCs w:val="20"/>
          <w:bdr w:val="none" w:sz="0" w:space="0" w:color="auto" w:frame="1"/>
          <w:lang w:val="en-IN"/>
        </w:rPr>
        <w:t>‘</w:t>
      </w:r>
      <w:r w:rsidRPr="00512B8B">
        <w:rPr>
          <w:rFonts w:ascii="Century Gothic" w:eastAsia="Times New Roman" w:hAnsi="Century Gothic" w:cs="Calibri"/>
          <w:color w:val="201F1E"/>
          <w:sz w:val="20"/>
          <w:szCs w:val="20"/>
          <w:bdr w:val="none" w:sz="0" w:space="0" w:color="auto" w:frame="1"/>
          <w:lang w:val="en-IN"/>
        </w:rPr>
        <w:t>TDS</w:t>
      </w:r>
      <w:r w:rsidR="0002158D">
        <w:rPr>
          <w:rFonts w:ascii="Century Gothic" w:eastAsia="Times New Roman" w:hAnsi="Century Gothic" w:cs="Calibri"/>
          <w:color w:val="201F1E"/>
          <w:sz w:val="20"/>
          <w:szCs w:val="20"/>
          <w:bdr w:val="none" w:sz="0" w:space="0" w:color="auto" w:frame="1"/>
          <w:lang w:val="en-IN"/>
        </w:rPr>
        <w:t>’</w:t>
      </w:r>
      <w:r w:rsidRPr="00512B8B">
        <w:rPr>
          <w:rFonts w:ascii="Century Gothic" w:eastAsia="Times New Roman" w:hAnsi="Century Gothic" w:cs="Calibri"/>
          <w:color w:val="201F1E"/>
          <w:sz w:val="20"/>
          <w:szCs w:val="20"/>
          <w:bdr w:val="none" w:sz="0" w:space="0" w:color="auto" w:frame="1"/>
          <w:lang w:val="en-IN"/>
        </w:rPr>
        <w:t xml:space="preserve">) / </w:t>
      </w:r>
      <w:r w:rsidR="007C6AA3" w:rsidRPr="00512B8B">
        <w:rPr>
          <w:rFonts w:ascii="Century Gothic" w:eastAsia="Times New Roman" w:hAnsi="Century Gothic" w:cs="Calibri"/>
          <w:color w:val="201F1E"/>
          <w:sz w:val="20"/>
          <w:szCs w:val="20"/>
          <w:bdr w:val="none" w:sz="0" w:space="0" w:color="auto" w:frame="1"/>
          <w:lang w:val="en-IN"/>
        </w:rPr>
        <w:t>withholding tax</w:t>
      </w:r>
      <w:r w:rsidRPr="00512B8B">
        <w:rPr>
          <w:rFonts w:ascii="Century Gothic" w:eastAsia="Times New Roman" w:hAnsi="Century Gothic" w:cs="Calibri"/>
          <w:color w:val="201F1E"/>
          <w:sz w:val="20"/>
          <w:szCs w:val="20"/>
          <w:bdr w:val="none" w:sz="0" w:space="0" w:color="auto" w:frame="1"/>
          <w:lang w:val="en-IN"/>
        </w:rPr>
        <w:t xml:space="preserve"> provisions under the Act, for Resident and Non-Resident shareholder categories </w:t>
      </w:r>
      <w:r w:rsidR="005D5822" w:rsidRPr="00620602">
        <w:rPr>
          <w:rFonts w:ascii="Century Gothic" w:eastAsia="Times New Roman" w:hAnsi="Century Gothic" w:cs="Calibri"/>
          <w:color w:val="201F1E"/>
          <w:sz w:val="20"/>
          <w:szCs w:val="20"/>
          <w:bdr w:val="none" w:sz="0" w:space="0" w:color="auto" w:frame="1"/>
          <w:lang w:val="en-IN"/>
        </w:rPr>
        <w:t xml:space="preserve">and the required documents </w:t>
      </w:r>
      <w:r w:rsidR="0077439D">
        <w:rPr>
          <w:rFonts w:ascii="Century Gothic" w:eastAsia="Times New Roman" w:hAnsi="Century Gothic" w:cs="Calibri"/>
          <w:color w:val="201F1E"/>
          <w:sz w:val="20"/>
          <w:szCs w:val="20"/>
          <w:bdr w:val="none" w:sz="0" w:space="0" w:color="auto" w:frame="1"/>
          <w:lang w:val="en-IN"/>
        </w:rPr>
        <w:t xml:space="preserve">as mentioned under: </w:t>
      </w:r>
      <w:r w:rsidR="00D21BD8">
        <w:rPr>
          <w:rFonts w:ascii="Century Gothic" w:eastAsia="Times New Roman" w:hAnsi="Century Gothic" w:cs="Calibri"/>
          <w:color w:val="201F1E"/>
          <w:sz w:val="20"/>
          <w:szCs w:val="20"/>
          <w:bdr w:val="none" w:sz="0" w:space="0" w:color="auto" w:frame="1"/>
          <w:lang w:val="en-IN"/>
        </w:rPr>
        <w:t>-</w:t>
      </w:r>
    </w:p>
    <w:p w14:paraId="39988C8F"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 </w:t>
      </w:r>
    </w:p>
    <w:p w14:paraId="2C552643" w14:textId="77777777" w:rsidR="005D5822" w:rsidRPr="0038604F" w:rsidRDefault="005D5822" w:rsidP="001E7DA1">
      <w:pPr>
        <w:pStyle w:val="ListParagraph"/>
        <w:numPr>
          <w:ilvl w:val="0"/>
          <w:numId w:val="8"/>
        </w:numPr>
        <w:shd w:val="clear" w:color="auto" w:fill="FFFFFF"/>
        <w:spacing w:after="0" w:line="240" w:lineRule="auto"/>
        <w:ind w:left="360"/>
        <w:jc w:val="both"/>
        <w:rPr>
          <w:rFonts w:ascii="Century Gothic" w:eastAsia="Times New Roman" w:hAnsi="Century Gothic" w:cs="Segoe UI"/>
          <w:color w:val="201F1E"/>
        </w:rPr>
      </w:pPr>
      <w:r w:rsidRPr="0038604F">
        <w:rPr>
          <w:rFonts w:ascii="Century Gothic" w:eastAsia="Times New Roman" w:hAnsi="Century Gothic" w:cs="Calibri"/>
          <w:b/>
          <w:bCs/>
          <w:color w:val="000000"/>
          <w:bdr w:val="none" w:sz="0" w:space="0" w:color="auto" w:frame="1"/>
        </w:rPr>
        <w:t>Resident Shareholders:</w:t>
      </w:r>
    </w:p>
    <w:p w14:paraId="59A9A9C9"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000000"/>
          <w:sz w:val="20"/>
          <w:szCs w:val="20"/>
          <w:bdr w:val="none" w:sz="0" w:space="0" w:color="auto" w:frame="1"/>
        </w:rPr>
        <w:t> </w:t>
      </w:r>
    </w:p>
    <w:p w14:paraId="3C388FCA" w14:textId="3B285615" w:rsidR="005D5822" w:rsidRPr="0038604F" w:rsidRDefault="005D5822" w:rsidP="0038604F">
      <w:pPr>
        <w:pStyle w:val="ListParagraph"/>
        <w:numPr>
          <w:ilvl w:val="0"/>
          <w:numId w:val="9"/>
        </w:numPr>
        <w:shd w:val="clear" w:color="auto" w:fill="FFFFFF"/>
        <w:spacing w:after="0" w:line="240" w:lineRule="auto"/>
        <w:ind w:left="360"/>
        <w:jc w:val="both"/>
        <w:rPr>
          <w:rFonts w:ascii="Century Gothic" w:eastAsia="Times New Roman" w:hAnsi="Century Gothic" w:cs="Segoe UI"/>
          <w:color w:val="201F1E"/>
          <w:sz w:val="20"/>
          <w:szCs w:val="20"/>
        </w:rPr>
      </w:pPr>
      <w:r w:rsidRPr="0038604F">
        <w:rPr>
          <w:rFonts w:ascii="Century Gothic" w:eastAsia="Times New Roman" w:hAnsi="Century Gothic" w:cs="Calibri"/>
          <w:color w:val="000000"/>
          <w:sz w:val="20"/>
          <w:szCs w:val="20"/>
          <w:bdr w:val="none" w:sz="0" w:space="0" w:color="auto" w:frame="1"/>
        </w:rPr>
        <w:t xml:space="preserve">Where PAN of the </w:t>
      </w:r>
      <w:r w:rsidR="00B411C3" w:rsidRPr="0038604F">
        <w:rPr>
          <w:rFonts w:ascii="Century Gothic" w:eastAsia="Times New Roman" w:hAnsi="Century Gothic" w:cs="Calibri"/>
          <w:color w:val="000000"/>
          <w:sz w:val="20"/>
          <w:szCs w:val="20"/>
          <w:bdr w:val="none" w:sz="0" w:space="0" w:color="auto" w:frame="1"/>
        </w:rPr>
        <w:t>shareholder</w:t>
      </w:r>
      <w:r w:rsidRPr="0038604F">
        <w:rPr>
          <w:rFonts w:ascii="Century Gothic" w:eastAsia="Times New Roman" w:hAnsi="Century Gothic" w:cs="Calibri"/>
          <w:color w:val="000000"/>
          <w:sz w:val="20"/>
          <w:szCs w:val="20"/>
          <w:bdr w:val="none" w:sz="0" w:space="0" w:color="auto" w:frame="1"/>
        </w:rPr>
        <w:t xml:space="preserve"> is available with the Company and is valid</w:t>
      </w:r>
      <w:r w:rsidR="00BC1B7B" w:rsidRPr="0038604F">
        <w:rPr>
          <w:rFonts w:ascii="Century Gothic" w:eastAsia="Times New Roman" w:hAnsi="Century Gothic" w:cs="Calibri"/>
          <w:color w:val="000000"/>
          <w:sz w:val="20"/>
          <w:szCs w:val="20"/>
          <w:bdr w:val="none" w:sz="0" w:space="0" w:color="auto" w:frame="1"/>
        </w:rPr>
        <w:t xml:space="preserve"> as per the provisions of the Act </w:t>
      </w:r>
      <w:r w:rsidRPr="0038604F">
        <w:rPr>
          <w:rFonts w:ascii="Century Gothic" w:eastAsia="Times New Roman" w:hAnsi="Century Gothic" w:cs="Calibri"/>
          <w:color w:val="000000"/>
          <w:sz w:val="20"/>
          <w:szCs w:val="20"/>
          <w:bdr w:val="none" w:sz="0" w:space="0" w:color="auto" w:frame="1"/>
        </w:rPr>
        <w:t>-   </w:t>
      </w:r>
    </w:p>
    <w:p w14:paraId="60F10EEC" w14:textId="3079BE3B" w:rsidR="005D5822" w:rsidRPr="00254995" w:rsidRDefault="005D5822" w:rsidP="00254995">
      <w:pPr>
        <w:pStyle w:val="ListParagraph"/>
        <w:numPr>
          <w:ilvl w:val="0"/>
          <w:numId w:val="6"/>
        </w:numPr>
        <w:shd w:val="clear" w:color="auto" w:fill="FFFFFF"/>
        <w:spacing w:after="0" w:line="240" w:lineRule="auto"/>
        <w:jc w:val="both"/>
        <w:rPr>
          <w:rFonts w:ascii="Century Gothic" w:eastAsia="Times New Roman" w:hAnsi="Century Gothic" w:cs="Segoe UI"/>
          <w:color w:val="201F1E"/>
          <w:sz w:val="20"/>
          <w:szCs w:val="20"/>
        </w:rPr>
      </w:pPr>
      <w:r w:rsidRPr="00254995">
        <w:rPr>
          <w:rFonts w:ascii="Century Gothic" w:eastAsia="Times New Roman" w:hAnsi="Century Gothic" w:cs="Calibri"/>
          <w:color w:val="000000"/>
          <w:sz w:val="20"/>
          <w:szCs w:val="20"/>
          <w:bdr w:val="none" w:sz="0" w:space="0" w:color="auto" w:frame="1"/>
        </w:rPr>
        <w:t>In accordance with Section 194 of the </w:t>
      </w:r>
      <w:r w:rsidRPr="00254995">
        <w:rPr>
          <w:rFonts w:ascii="Century Gothic" w:eastAsia="Times New Roman" w:hAnsi="Century Gothic" w:cs="Calibri"/>
          <w:color w:val="201F1E"/>
          <w:sz w:val="20"/>
          <w:szCs w:val="20"/>
          <w:bdr w:val="none" w:sz="0" w:space="0" w:color="auto" w:frame="1"/>
        </w:rPr>
        <w:t>Act, </w:t>
      </w:r>
      <w:r w:rsidR="006C43BA">
        <w:rPr>
          <w:rFonts w:ascii="Century Gothic" w:eastAsia="Times New Roman" w:hAnsi="Century Gothic" w:cs="Calibri"/>
          <w:color w:val="000000"/>
          <w:sz w:val="20"/>
          <w:szCs w:val="20"/>
          <w:bdr w:val="none" w:sz="0" w:space="0" w:color="auto" w:frame="1"/>
        </w:rPr>
        <w:t>t</w:t>
      </w:r>
      <w:r w:rsidR="00620602" w:rsidRPr="00254995">
        <w:rPr>
          <w:rFonts w:ascii="Century Gothic" w:eastAsia="Times New Roman" w:hAnsi="Century Gothic" w:cs="Calibri"/>
          <w:color w:val="000000"/>
          <w:sz w:val="20"/>
          <w:szCs w:val="20"/>
          <w:bdr w:val="none" w:sz="0" w:space="0" w:color="auto" w:frame="1"/>
        </w:rPr>
        <w:t>ax</w:t>
      </w:r>
      <w:r w:rsidRPr="00254995">
        <w:rPr>
          <w:rFonts w:ascii="Century Gothic" w:eastAsia="Times New Roman" w:hAnsi="Century Gothic" w:cs="Calibri"/>
          <w:color w:val="000000"/>
          <w:sz w:val="20"/>
          <w:szCs w:val="20"/>
          <w:bdr w:val="none" w:sz="0" w:space="0" w:color="auto" w:frame="1"/>
        </w:rPr>
        <w:t xml:space="preserve"> will be </w:t>
      </w:r>
      <w:r w:rsidR="006753C0" w:rsidRPr="00254995">
        <w:rPr>
          <w:rFonts w:ascii="Century Gothic" w:eastAsia="Times New Roman" w:hAnsi="Century Gothic" w:cs="Calibri"/>
          <w:color w:val="000000"/>
          <w:sz w:val="20"/>
          <w:szCs w:val="20"/>
          <w:bdr w:val="none" w:sz="0" w:space="0" w:color="auto" w:frame="1"/>
        </w:rPr>
        <w:t xml:space="preserve">deducted </w:t>
      </w:r>
      <w:r w:rsidRPr="00254995">
        <w:rPr>
          <w:rFonts w:ascii="Century Gothic" w:eastAsia="Times New Roman" w:hAnsi="Century Gothic" w:cs="Calibri"/>
          <w:color w:val="000000"/>
          <w:sz w:val="20"/>
          <w:szCs w:val="20"/>
          <w:bdr w:val="none" w:sz="0" w:space="0" w:color="auto" w:frame="1"/>
        </w:rPr>
        <w:t xml:space="preserve">@ </w:t>
      </w:r>
      <w:bookmarkStart w:id="0" w:name="x_x__Hlk74218438"/>
      <w:r w:rsidR="00866A90" w:rsidRPr="00254995">
        <w:rPr>
          <w:rFonts w:ascii="Century Gothic" w:eastAsia="Times New Roman" w:hAnsi="Century Gothic" w:cs="Calibri"/>
          <w:color w:val="000000"/>
          <w:sz w:val="20"/>
          <w:szCs w:val="20"/>
          <w:bdr w:val="none" w:sz="0" w:space="0" w:color="auto" w:frame="1"/>
        </w:rPr>
        <w:t>10% if</w:t>
      </w:r>
      <w:r w:rsidRPr="00254995">
        <w:rPr>
          <w:rFonts w:ascii="Century Gothic" w:eastAsia="Times New Roman" w:hAnsi="Century Gothic" w:cs="Calibri"/>
          <w:color w:val="000000"/>
          <w:sz w:val="20"/>
          <w:szCs w:val="20"/>
          <w:bdr w:val="none" w:sz="0" w:space="0" w:color="auto" w:frame="1"/>
        </w:rPr>
        <w:t xml:space="preserve"> the amount of dividend payable</w:t>
      </w:r>
      <w:r w:rsidR="00620602" w:rsidRPr="00254995">
        <w:rPr>
          <w:rFonts w:ascii="Century Gothic" w:eastAsia="Times New Roman" w:hAnsi="Century Gothic" w:cs="Calibri"/>
          <w:color w:val="000000"/>
          <w:sz w:val="20"/>
          <w:szCs w:val="20"/>
          <w:bdr w:val="none" w:sz="0" w:space="0" w:color="auto" w:frame="1"/>
        </w:rPr>
        <w:t xml:space="preserve"> during FY 202</w:t>
      </w:r>
      <w:r w:rsidR="007C56E7">
        <w:rPr>
          <w:rFonts w:ascii="Century Gothic" w:eastAsia="Times New Roman" w:hAnsi="Century Gothic" w:cs="Calibri"/>
          <w:color w:val="000000"/>
          <w:sz w:val="20"/>
          <w:szCs w:val="20"/>
          <w:bdr w:val="none" w:sz="0" w:space="0" w:color="auto" w:frame="1"/>
        </w:rPr>
        <w:t>4</w:t>
      </w:r>
      <w:r w:rsidR="00620602" w:rsidRPr="00254995">
        <w:rPr>
          <w:rFonts w:ascii="Century Gothic" w:eastAsia="Times New Roman" w:hAnsi="Century Gothic" w:cs="Calibri"/>
          <w:color w:val="000000"/>
          <w:sz w:val="20"/>
          <w:szCs w:val="20"/>
          <w:bdr w:val="none" w:sz="0" w:space="0" w:color="auto" w:frame="1"/>
        </w:rPr>
        <w:t>-2</w:t>
      </w:r>
      <w:r w:rsidR="007C56E7">
        <w:rPr>
          <w:rFonts w:ascii="Century Gothic" w:eastAsia="Times New Roman" w:hAnsi="Century Gothic" w:cs="Calibri"/>
          <w:color w:val="000000"/>
          <w:sz w:val="20"/>
          <w:szCs w:val="20"/>
          <w:bdr w:val="none" w:sz="0" w:space="0" w:color="auto" w:frame="1"/>
        </w:rPr>
        <w:t>5</w:t>
      </w:r>
      <w:r w:rsidR="00620602" w:rsidRPr="00254995">
        <w:rPr>
          <w:rFonts w:ascii="Century Gothic" w:eastAsia="Times New Roman" w:hAnsi="Century Gothic" w:cs="Calibri"/>
          <w:color w:val="000000"/>
          <w:sz w:val="20"/>
          <w:szCs w:val="20"/>
          <w:bdr w:val="none" w:sz="0" w:space="0" w:color="auto" w:frame="1"/>
        </w:rPr>
        <w:t xml:space="preserve"> </w:t>
      </w:r>
      <w:r w:rsidRPr="00254995">
        <w:rPr>
          <w:rFonts w:ascii="Century Gothic" w:eastAsia="Times New Roman" w:hAnsi="Century Gothic" w:cs="Calibri"/>
          <w:color w:val="000000"/>
          <w:sz w:val="20"/>
          <w:szCs w:val="20"/>
          <w:bdr w:val="none" w:sz="0" w:space="0" w:color="auto" w:frame="1"/>
        </w:rPr>
        <w:t>exceeds Rs. 5,000/-; and</w:t>
      </w:r>
      <w:bookmarkEnd w:id="0"/>
    </w:p>
    <w:p w14:paraId="1AD66C12" w14:textId="2A3C9E44" w:rsidR="005D5822" w:rsidRPr="00254995" w:rsidRDefault="005D5822" w:rsidP="00254995">
      <w:pPr>
        <w:pStyle w:val="ListParagraph"/>
        <w:numPr>
          <w:ilvl w:val="0"/>
          <w:numId w:val="6"/>
        </w:numPr>
        <w:shd w:val="clear" w:color="auto" w:fill="FFFFFF"/>
        <w:spacing w:after="0" w:line="240" w:lineRule="auto"/>
        <w:jc w:val="both"/>
        <w:rPr>
          <w:rFonts w:ascii="Century Gothic" w:eastAsia="Times New Roman" w:hAnsi="Century Gothic" w:cs="Segoe UI"/>
          <w:color w:val="201F1E"/>
          <w:sz w:val="20"/>
          <w:szCs w:val="20"/>
        </w:rPr>
      </w:pPr>
      <w:r w:rsidRPr="00254995">
        <w:rPr>
          <w:rFonts w:ascii="Century Gothic" w:eastAsia="Times New Roman" w:hAnsi="Century Gothic" w:cs="Calibri"/>
          <w:color w:val="000000"/>
          <w:sz w:val="20"/>
          <w:szCs w:val="20"/>
          <w:bdr w:val="none" w:sz="0" w:space="0" w:color="auto" w:frame="1"/>
        </w:rPr>
        <w:t xml:space="preserve">No tax </w:t>
      </w:r>
      <w:r w:rsidR="00FB69DD">
        <w:rPr>
          <w:rFonts w:ascii="Century Gothic" w:eastAsia="Times New Roman" w:hAnsi="Century Gothic" w:cs="Calibri"/>
          <w:color w:val="000000"/>
          <w:sz w:val="20"/>
          <w:szCs w:val="20"/>
          <w:bdr w:val="none" w:sz="0" w:space="0" w:color="auto" w:frame="1"/>
        </w:rPr>
        <w:t>will</w:t>
      </w:r>
      <w:r w:rsidRPr="00254995">
        <w:rPr>
          <w:rFonts w:ascii="Century Gothic" w:eastAsia="Times New Roman" w:hAnsi="Century Gothic" w:cs="Calibri"/>
          <w:color w:val="000000"/>
          <w:sz w:val="20"/>
          <w:szCs w:val="20"/>
          <w:bdr w:val="none" w:sz="0" w:space="0" w:color="auto" w:frame="1"/>
        </w:rPr>
        <w:t xml:space="preserve"> be deducted on dividend payable in cases where</w:t>
      </w:r>
      <w:r w:rsidR="00620602" w:rsidRPr="00254995">
        <w:rPr>
          <w:rFonts w:ascii="Century Gothic" w:eastAsia="Times New Roman" w:hAnsi="Century Gothic" w:cs="Calibri"/>
          <w:color w:val="000000"/>
          <w:sz w:val="20"/>
          <w:szCs w:val="20"/>
          <w:bdr w:val="none" w:sz="0" w:space="0" w:color="auto" w:frame="1"/>
        </w:rPr>
        <w:t xml:space="preserve"> </w:t>
      </w:r>
      <w:r w:rsidRPr="00254995">
        <w:rPr>
          <w:rFonts w:ascii="Century Gothic" w:eastAsia="Times New Roman" w:hAnsi="Century Gothic" w:cs="Calibri"/>
          <w:color w:val="201F1E"/>
          <w:sz w:val="20"/>
          <w:szCs w:val="20"/>
          <w:bdr w:val="none" w:sz="0" w:space="0" w:color="auto" w:frame="1"/>
          <w:lang w:val="en-IN"/>
        </w:rPr>
        <w:t>shareholder</w:t>
      </w:r>
      <w:r w:rsidRPr="00254995">
        <w:rPr>
          <w:rFonts w:ascii="Century Gothic" w:eastAsia="Times New Roman" w:hAnsi="Century Gothic" w:cs="Calibri"/>
          <w:color w:val="000000"/>
          <w:sz w:val="20"/>
          <w:szCs w:val="20"/>
          <w:bdr w:val="none" w:sz="0" w:space="0" w:color="auto" w:frame="1"/>
        </w:rPr>
        <w:t> provides duly completed and signed Form 15G (</w:t>
      </w:r>
      <w:r w:rsidR="00812A45" w:rsidRPr="00254995">
        <w:rPr>
          <w:rFonts w:ascii="Century Gothic" w:eastAsia="Times New Roman" w:hAnsi="Century Gothic" w:cs="Calibri"/>
          <w:color w:val="000000"/>
          <w:sz w:val="20"/>
          <w:szCs w:val="20"/>
          <w:bdr w:val="none" w:sz="0" w:space="0" w:color="auto" w:frame="1"/>
        </w:rPr>
        <w:t xml:space="preserve">applicable to an individual </w:t>
      </w:r>
      <w:r w:rsidR="00812A45">
        <w:rPr>
          <w:rFonts w:ascii="Century Gothic" w:eastAsia="Times New Roman" w:hAnsi="Century Gothic" w:cs="Calibri"/>
          <w:color w:val="000000"/>
          <w:sz w:val="20"/>
          <w:szCs w:val="20"/>
          <w:bdr w:val="none" w:sz="0" w:space="0" w:color="auto" w:frame="1"/>
        </w:rPr>
        <w:t xml:space="preserve">below </w:t>
      </w:r>
      <w:r w:rsidR="00812A45" w:rsidRPr="00254995">
        <w:rPr>
          <w:rFonts w:ascii="Century Gothic" w:eastAsia="Times New Roman" w:hAnsi="Century Gothic" w:cs="Calibri"/>
          <w:color w:val="000000"/>
          <w:sz w:val="20"/>
          <w:szCs w:val="20"/>
          <w:bdr w:val="none" w:sz="0" w:space="0" w:color="auto" w:frame="1"/>
        </w:rPr>
        <w:t>the age of 60 years</w:t>
      </w:r>
      <w:r w:rsidRPr="00254995">
        <w:rPr>
          <w:rFonts w:ascii="Century Gothic" w:eastAsia="Times New Roman" w:hAnsi="Century Gothic" w:cs="Calibri"/>
          <w:color w:val="000000"/>
          <w:sz w:val="20"/>
          <w:szCs w:val="20"/>
          <w:bdr w:val="none" w:sz="0" w:space="0" w:color="auto" w:frame="1"/>
        </w:rPr>
        <w:t xml:space="preserve">) or Form 15H (applicable to an individual </w:t>
      </w:r>
      <w:r w:rsidR="007916B7">
        <w:rPr>
          <w:rFonts w:ascii="Century Gothic" w:eastAsia="Times New Roman" w:hAnsi="Century Gothic" w:cs="Calibri"/>
          <w:color w:val="000000"/>
          <w:sz w:val="20"/>
          <w:szCs w:val="20"/>
          <w:bdr w:val="none" w:sz="0" w:space="0" w:color="auto" w:frame="1"/>
        </w:rPr>
        <w:t xml:space="preserve">aged </w:t>
      </w:r>
      <w:r w:rsidRPr="00254995">
        <w:rPr>
          <w:rFonts w:ascii="Century Gothic" w:eastAsia="Times New Roman" w:hAnsi="Century Gothic" w:cs="Calibri"/>
          <w:color w:val="000000"/>
          <w:sz w:val="20"/>
          <w:szCs w:val="20"/>
          <w:bdr w:val="none" w:sz="0" w:space="0" w:color="auto" w:frame="1"/>
        </w:rPr>
        <w:t>f 60 years</w:t>
      </w:r>
      <w:r w:rsidR="007916B7">
        <w:rPr>
          <w:rFonts w:ascii="Century Gothic" w:eastAsia="Times New Roman" w:hAnsi="Century Gothic" w:cs="Calibri"/>
          <w:color w:val="000000"/>
          <w:sz w:val="20"/>
          <w:szCs w:val="20"/>
          <w:bdr w:val="none" w:sz="0" w:space="0" w:color="auto" w:frame="1"/>
        </w:rPr>
        <w:t xml:space="preserve"> or above</w:t>
      </w:r>
      <w:r w:rsidRPr="00254995">
        <w:rPr>
          <w:rFonts w:ascii="Century Gothic" w:eastAsia="Times New Roman" w:hAnsi="Century Gothic" w:cs="Calibri"/>
          <w:color w:val="000000"/>
          <w:sz w:val="20"/>
          <w:szCs w:val="20"/>
          <w:bdr w:val="none" w:sz="0" w:space="0" w:color="auto" w:frame="1"/>
        </w:rPr>
        <w:t>), provided that all the eligibility conditions are met</w:t>
      </w:r>
      <w:r w:rsidR="00595B87">
        <w:rPr>
          <w:rFonts w:ascii="Century Gothic" w:eastAsia="Times New Roman" w:hAnsi="Century Gothic" w:cs="Calibri"/>
          <w:color w:val="000000"/>
          <w:sz w:val="20"/>
          <w:szCs w:val="20"/>
          <w:bdr w:val="none" w:sz="0" w:space="0" w:color="auto" w:frame="1"/>
        </w:rPr>
        <w:t xml:space="preserve"> and documents are received </w:t>
      </w:r>
      <w:r w:rsidR="00595B87" w:rsidRPr="00F94D1C">
        <w:rPr>
          <w:rFonts w:ascii="Century Gothic" w:eastAsia="Times New Roman" w:hAnsi="Century Gothic" w:cs="Calibri"/>
          <w:b/>
          <w:bCs/>
          <w:color w:val="201F1E"/>
          <w:sz w:val="20"/>
          <w:szCs w:val="20"/>
          <w:bdr w:val="none" w:sz="0" w:space="0" w:color="auto" w:frame="1"/>
        </w:rPr>
        <w:t>not later than 5.00 p</w:t>
      </w:r>
      <w:r w:rsidR="00595B87">
        <w:rPr>
          <w:rFonts w:ascii="Century Gothic" w:eastAsia="Times New Roman" w:hAnsi="Century Gothic" w:cs="Calibri"/>
          <w:b/>
          <w:bCs/>
          <w:color w:val="201F1E"/>
          <w:sz w:val="20"/>
          <w:szCs w:val="20"/>
          <w:bdr w:val="none" w:sz="0" w:space="0" w:color="auto" w:frame="1"/>
        </w:rPr>
        <w:t>.</w:t>
      </w:r>
      <w:r w:rsidR="00595B87" w:rsidRPr="00F94D1C">
        <w:rPr>
          <w:rFonts w:ascii="Century Gothic" w:eastAsia="Times New Roman" w:hAnsi="Century Gothic" w:cs="Calibri"/>
          <w:b/>
          <w:bCs/>
          <w:color w:val="201F1E"/>
          <w:sz w:val="20"/>
          <w:szCs w:val="20"/>
          <w:bdr w:val="none" w:sz="0" w:space="0" w:color="auto" w:frame="1"/>
        </w:rPr>
        <w:t>m</w:t>
      </w:r>
      <w:r w:rsidR="00595B87">
        <w:rPr>
          <w:rFonts w:ascii="Century Gothic" w:eastAsia="Times New Roman" w:hAnsi="Century Gothic" w:cs="Calibri"/>
          <w:b/>
          <w:bCs/>
          <w:color w:val="201F1E"/>
          <w:sz w:val="20"/>
          <w:szCs w:val="20"/>
          <w:bdr w:val="none" w:sz="0" w:space="0" w:color="auto" w:frame="1"/>
        </w:rPr>
        <w:t>.</w:t>
      </w:r>
      <w:r w:rsidR="00595B87" w:rsidRPr="00F94D1C">
        <w:rPr>
          <w:rFonts w:ascii="Century Gothic" w:eastAsia="Times New Roman" w:hAnsi="Century Gothic" w:cs="Calibri"/>
          <w:b/>
          <w:bCs/>
          <w:color w:val="201F1E"/>
          <w:sz w:val="20"/>
          <w:szCs w:val="20"/>
          <w:bdr w:val="none" w:sz="0" w:space="0" w:color="auto" w:frame="1"/>
        </w:rPr>
        <w:t xml:space="preserve"> (IST) on </w:t>
      </w:r>
      <w:r w:rsidR="00595B87">
        <w:rPr>
          <w:rFonts w:ascii="Century Gothic" w:eastAsia="Times New Roman" w:hAnsi="Century Gothic" w:cs="Calibri"/>
          <w:b/>
          <w:bCs/>
          <w:color w:val="201F1E"/>
          <w:sz w:val="20"/>
          <w:szCs w:val="20"/>
          <w:bdr w:val="none" w:sz="0" w:space="0" w:color="auto" w:frame="1"/>
        </w:rPr>
        <w:t>Wednesday,</w:t>
      </w:r>
      <w:r w:rsidR="00595B87" w:rsidRPr="00F94D1C">
        <w:rPr>
          <w:rFonts w:ascii="Century Gothic" w:eastAsia="Times New Roman" w:hAnsi="Century Gothic" w:cs="Calibri"/>
          <w:b/>
          <w:bCs/>
          <w:color w:val="201F1E"/>
          <w:sz w:val="20"/>
          <w:szCs w:val="20"/>
          <w:bdr w:val="none" w:sz="0" w:space="0" w:color="auto" w:frame="1"/>
        </w:rPr>
        <w:t xml:space="preserve"> July 1</w:t>
      </w:r>
      <w:r w:rsidR="00595B87">
        <w:rPr>
          <w:rFonts w:ascii="Century Gothic" w:eastAsia="Times New Roman" w:hAnsi="Century Gothic" w:cs="Calibri"/>
          <w:b/>
          <w:bCs/>
          <w:color w:val="201F1E"/>
          <w:sz w:val="20"/>
          <w:szCs w:val="20"/>
          <w:bdr w:val="none" w:sz="0" w:space="0" w:color="auto" w:frame="1"/>
        </w:rPr>
        <w:t>0</w:t>
      </w:r>
      <w:r w:rsidR="00595B87" w:rsidRPr="00F94D1C">
        <w:rPr>
          <w:rFonts w:ascii="Century Gothic" w:eastAsia="Times New Roman" w:hAnsi="Century Gothic" w:cs="Calibri"/>
          <w:b/>
          <w:bCs/>
          <w:color w:val="201F1E"/>
          <w:sz w:val="20"/>
          <w:szCs w:val="20"/>
          <w:bdr w:val="none" w:sz="0" w:space="0" w:color="auto" w:frame="1"/>
        </w:rPr>
        <w:t>, 202</w:t>
      </w:r>
      <w:r w:rsidR="00595B87">
        <w:rPr>
          <w:rFonts w:ascii="Century Gothic" w:eastAsia="Times New Roman" w:hAnsi="Century Gothic" w:cs="Calibri"/>
          <w:b/>
          <w:bCs/>
          <w:color w:val="201F1E"/>
          <w:sz w:val="20"/>
          <w:szCs w:val="20"/>
          <w:bdr w:val="none" w:sz="0" w:space="0" w:color="auto" w:frame="1"/>
        </w:rPr>
        <w:t>4,</w:t>
      </w:r>
      <w:r w:rsidR="00595B87">
        <w:rPr>
          <w:rFonts w:ascii="Century Gothic" w:eastAsia="Times New Roman" w:hAnsi="Century Gothic" w:cs="Calibri"/>
          <w:color w:val="201F1E"/>
          <w:sz w:val="20"/>
          <w:szCs w:val="20"/>
          <w:bdr w:val="none" w:sz="0" w:space="0" w:color="auto" w:frame="1"/>
        </w:rPr>
        <w:t xml:space="preserve"> </w:t>
      </w:r>
      <w:r w:rsidR="00595B87" w:rsidRPr="00620602">
        <w:rPr>
          <w:rFonts w:ascii="Century Gothic" w:eastAsia="Times New Roman" w:hAnsi="Century Gothic" w:cs="Calibri"/>
          <w:color w:val="201F1E"/>
          <w:sz w:val="20"/>
          <w:szCs w:val="20"/>
          <w:bdr w:val="none" w:sz="0" w:space="0" w:color="auto" w:frame="1"/>
        </w:rPr>
        <w:t>to </w:t>
      </w:r>
      <w:r w:rsidR="00595B87" w:rsidRPr="00620602" w:rsidDel="00F22C2E">
        <w:rPr>
          <w:rFonts w:ascii="Century Gothic" w:eastAsia="Times New Roman" w:hAnsi="Century Gothic" w:cs="Calibri"/>
          <w:color w:val="201F1E"/>
          <w:sz w:val="20"/>
          <w:szCs w:val="20"/>
          <w:bdr w:val="none" w:sz="0" w:space="0" w:color="auto" w:frame="1"/>
        </w:rPr>
        <w:t xml:space="preserve"> </w:t>
      </w:r>
      <w:r w:rsidR="00595B87" w:rsidRPr="00620602">
        <w:rPr>
          <w:rFonts w:ascii="Century Gothic" w:eastAsia="Times New Roman" w:hAnsi="Century Gothic" w:cs="Calibri"/>
          <w:color w:val="201F1E"/>
          <w:sz w:val="20"/>
          <w:szCs w:val="20"/>
          <w:bdr w:val="none" w:sz="0" w:space="0" w:color="auto" w:frame="1"/>
        </w:rPr>
        <w:t>Link Intime,</w:t>
      </w:r>
      <w:r w:rsidR="00595B87" w:rsidRPr="00620602">
        <w:rPr>
          <w:rFonts w:ascii="Century Gothic" w:eastAsia="Times New Roman" w:hAnsi="Century Gothic" w:cs="Calibri"/>
          <w:b/>
          <w:bCs/>
          <w:color w:val="201F1E"/>
          <w:sz w:val="20"/>
          <w:szCs w:val="20"/>
          <w:bdr w:val="none" w:sz="0" w:space="0" w:color="auto" w:frame="1"/>
        </w:rPr>
        <w:t> </w:t>
      </w:r>
      <w:r w:rsidR="00595B87">
        <w:rPr>
          <w:rFonts w:ascii="Century Gothic" w:eastAsia="Times New Roman" w:hAnsi="Century Gothic" w:cs="Calibri"/>
          <w:color w:val="201F1E"/>
          <w:sz w:val="20"/>
          <w:szCs w:val="20"/>
          <w:bdr w:val="none" w:sz="0" w:space="0" w:color="auto" w:frame="1"/>
        </w:rPr>
        <w:t>RTA</w:t>
      </w:r>
      <w:r w:rsidR="00595B87" w:rsidRPr="00620602">
        <w:rPr>
          <w:rFonts w:ascii="Century Gothic" w:eastAsia="Times New Roman" w:hAnsi="Century Gothic" w:cs="Calibri"/>
          <w:color w:val="201F1E"/>
          <w:sz w:val="20"/>
          <w:szCs w:val="20"/>
          <w:bdr w:val="none" w:sz="0" w:space="0" w:color="auto" w:frame="1"/>
        </w:rPr>
        <w:t xml:space="preserve"> of the Company via link </w:t>
      </w:r>
      <w:hyperlink r:id="rId11" w:history="1">
        <w:r w:rsidR="00BC192C" w:rsidRPr="00BC192C">
          <w:rPr>
            <w:rStyle w:val="Hyperlink"/>
            <w:rFonts w:ascii="Calibri" w:hAnsi="Calibri" w:cs="Calibri"/>
            <w:highlight w:val="yellow"/>
            <w:shd w:val="clear" w:color="auto" w:fill="FFFFFF"/>
          </w:rPr>
          <w:t>https://liiplweb.linkintime.co.in/formsreg/submission-of-form-15g-15h.html</w:t>
        </w:r>
      </w:hyperlink>
      <w:r w:rsidRPr="00BC192C">
        <w:rPr>
          <w:rFonts w:ascii="Century Gothic" w:eastAsia="Times New Roman" w:hAnsi="Century Gothic" w:cs="Calibri"/>
          <w:color w:val="000000"/>
          <w:sz w:val="20"/>
          <w:szCs w:val="20"/>
          <w:highlight w:val="yellow"/>
          <w:bdr w:val="none" w:sz="0" w:space="0" w:color="auto" w:frame="1"/>
        </w:rPr>
        <w:t>.</w:t>
      </w:r>
      <w:r w:rsidRPr="00254995">
        <w:rPr>
          <w:rFonts w:ascii="Century Gothic" w:eastAsia="Times New Roman" w:hAnsi="Century Gothic" w:cs="Calibri"/>
          <w:color w:val="000000"/>
          <w:sz w:val="20"/>
          <w:szCs w:val="20"/>
          <w:bdr w:val="none" w:sz="0" w:space="0" w:color="auto" w:frame="1"/>
        </w:rPr>
        <w:t xml:space="preserve"> </w:t>
      </w:r>
      <w:r w:rsidR="00B26CD5" w:rsidRPr="00254995">
        <w:rPr>
          <w:rFonts w:ascii="Century Gothic" w:eastAsia="Times New Roman" w:hAnsi="Century Gothic" w:cs="Calibri"/>
          <w:color w:val="000000"/>
          <w:sz w:val="20"/>
          <w:szCs w:val="20"/>
          <w:bdr w:val="none" w:sz="0" w:space="0" w:color="auto" w:frame="1"/>
        </w:rPr>
        <w:t xml:space="preserve">Links of Form 15G and Form 15H are </w:t>
      </w:r>
      <w:r w:rsidR="005F09FB">
        <w:rPr>
          <w:rFonts w:ascii="Century Gothic" w:eastAsia="Times New Roman" w:hAnsi="Century Gothic" w:cs="Calibri"/>
          <w:color w:val="000000"/>
          <w:sz w:val="20"/>
          <w:szCs w:val="20"/>
          <w:bdr w:val="none" w:sz="0" w:space="0" w:color="auto" w:frame="1"/>
        </w:rPr>
        <w:t xml:space="preserve">given </w:t>
      </w:r>
      <w:r w:rsidR="00663527">
        <w:rPr>
          <w:rFonts w:ascii="Century Gothic" w:eastAsia="Times New Roman" w:hAnsi="Century Gothic" w:cs="Calibri"/>
          <w:color w:val="000000"/>
          <w:sz w:val="20"/>
          <w:szCs w:val="20"/>
          <w:bdr w:val="none" w:sz="0" w:space="0" w:color="auto" w:frame="1"/>
        </w:rPr>
        <w:t xml:space="preserve">at the end of this communication </w:t>
      </w:r>
      <w:r w:rsidR="00B26CD5" w:rsidRPr="00254995">
        <w:rPr>
          <w:rFonts w:ascii="Century Gothic" w:eastAsia="Times New Roman" w:hAnsi="Century Gothic" w:cs="Calibri"/>
          <w:color w:val="000000"/>
          <w:sz w:val="20"/>
          <w:szCs w:val="20"/>
          <w:bdr w:val="none" w:sz="0" w:space="0" w:color="auto" w:frame="1"/>
        </w:rPr>
        <w:t xml:space="preserve">as </w:t>
      </w:r>
      <w:r w:rsidR="00B26CD5" w:rsidRPr="00254995">
        <w:rPr>
          <w:rFonts w:ascii="Century Gothic" w:eastAsia="Times New Roman" w:hAnsi="Century Gothic" w:cs="Calibri"/>
          <w:b/>
          <w:bCs/>
          <w:color w:val="000000"/>
          <w:sz w:val="20"/>
          <w:szCs w:val="20"/>
          <w:bdr w:val="none" w:sz="0" w:space="0" w:color="auto" w:frame="1"/>
        </w:rPr>
        <w:t xml:space="preserve">Annexure I </w:t>
      </w:r>
      <w:r w:rsidR="00B26CD5" w:rsidRPr="00254995">
        <w:rPr>
          <w:rFonts w:ascii="Century Gothic" w:eastAsia="Times New Roman" w:hAnsi="Century Gothic" w:cs="Calibri"/>
          <w:color w:val="000000"/>
          <w:sz w:val="20"/>
          <w:szCs w:val="20"/>
          <w:bdr w:val="none" w:sz="0" w:space="0" w:color="auto" w:frame="1"/>
        </w:rPr>
        <w:t xml:space="preserve">and </w:t>
      </w:r>
      <w:r w:rsidR="00B26CD5" w:rsidRPr="00254995">
        <w:rPr>
          <w:rFonts w:ascii="Century Gothic" w:eastAsia="Times New Roman" w:hAnsi="Century Gothic" w:cs="Calibri"/>
          <w:b/>
          <w:bCs/>
          <w:color w:val="000000"/>
          <w:sz w:val="20"/>
          <w:szCs w:val="20"/>
          <w:bdr w:val="none" w:sz="0" w:space="0" w:color="auto" w:frame="1"/>
        </w:rPr>
        <w:t>Annexure II</w:t>
      </w:r>
      <w:r w:rsidR="00B26CD5" w:rsidRPr="00254995">
        <w:rPr>
          <w:rFonts w:ascii="Century Gothic" w:eastAsia="Times New Roman" w:hAnsi="Century Gothic" w:cs="Calibri"/>
          <w:color w:val="000000"/>
          <w:sz w:val="20"/>
          <w:szCs w:val="20"/>
          <w:bdr w:val="none" w:sz="0" w:space="0" w:color="auto" w:frame="1"/>
        </w:rPr>
        <w:t>.</w:t>
      </w:r>
    </w:p>
    <w:p w14:paraId="2EFCBD71" w14:textId="77777777" w:rsidR="005D5822" w:rsidRPr="00620602" w:rsidRDefault="005D5822" w:rsidP="005D5822">
      <w:pPr>
        <w:shd w:val="clear" w:color="auto" w:fill="FFFFFF"/>
        <w:spacing w:after="0" w:line="240" w:lineRule="auto"/>
        <w:ind w:left="360" w:hanging="360"/>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000000"/>
          <w:sz w:val="20"/>
          <w:szCs w:val="20"/>
          <w:bdr w:val="none" w:sz="0" w:space="0" w:color="auto" w:frame="1"/>
        </w:rPr>
        <w:t> </w:t>
      </w:r>
    </w:p>
    <w:p w14:paraId="1B6FF86E" w14:textId="7BB224E5" w:rsidR="00254995" w:rsidRPr="00254995" w:rsidRDefault="00254995" w:rsidP="0038604F">
      <w:pPr>
        <w:pStyle w:val="ListParagraph"/>
        <w:numPr>
          <w:ilvl w:val="0"/>
          <w:numId w:val="9"/>
        </w:numPr>
        <w:shd w:val="clear" w:color="auto" w:fill="FFFFFF"/>
        <w:spacing w:after="0" w:line="240" w:lineRule="auto"/>
        <w:ind w:left="360"/>
        <w:jc w:val="both"/>
        <w:rPr>
          <w:rFonts w:ascii="Century Gothic" w:eastAsia="Times New Roman" w:hAnsi="Century Gothic" w:cs="Times New Roman"/>
          <w:color w:val="000000"/>
          <w:sz w:val="20"/>
          <w:szCs w:val="20"/>
          <w:bdr w:val="none" w:sz="0" w:space="0" w:color="auto" w:frame="1"/>
        </w:rPr>
      </w:pPr>
      <w:r>
        <w:rPr>
          <w:rFonts w:ascii="Century Gothic" w:eastAsia="Times New Roman" w:hAnsi="Century Gothic" w:cs="Times New Roman"/>
          <w:color w:val="000000"/>
          <w:sz w:val="20"/>
          <w:szCs w:val="20"/>
          <w:bdr w:val="none" w:sz="0" w:space="0" w:color="auto" w:frame="1"/>
        </w:rPr>
        <w:t>Tax</w:t>
      </w:r>
      <w:r w:rsidRPr="00254995">
        <w:rPr>
          <w:rFonts w:ascii="Century Gothic" w:eastAsia="Times New Roman" w:hAnsi="Century Gothic" w:cs="Times New Roman"/>
          <w:color w:val="000000"/>
          <w:sz w:val="20"/>
          <w:szCs w:val="20"/>
          <w:bdr w:val="none" w:sz="0" w:space="0" w:color="auto" w:frame="1"/>
        </w:rPr>
        <w:t xml:space="preserve"> will be deducted @ 20% on the amount of dividend payable</w:t>
      </w:r>
      <w:r>
        <w:rPr>
          <w:rFonts w:ascii="Century Gothic" w:eastAsia="Times New Roman" w:hAnsi="Century Gothic" w:cs="Times New Roman"/>
          <w:color w:val="000000"/>
          <w:sz w:val="20"/>
          <w:szCs w:val="20"/>
          <w:bdr w:val="none" w:sz="0" w:space="0" w:color="auto" w:frame="1"/>
        </w:rPr>
        <w:t>,</w:t>
      </w:r>
      <w:r w:rsidRPr="00254995">
        <w:rPr>
          <w:rFonts w:ascii="Century Gothic" w:eastAsia="Times New Roman" w:hAnsi="Century Gothic" w:cs="Times New Roman"/>
          <w:color w:val="000000"/>
          <w:sz w:val="20"/>
          <w:szCs w:val="20"/>
          <w:bdr w:val="none" w:sz="0" w:space="0" w:color="auto" w:frame="1"/>
        </w:rPr>
        <w:t xml:space="preserve"> where </w:t>
      </w:r>
      <w:r>
        <w:rPr>
          <w:rFonts w:ascii="Century Gothic" w:eastAsia="Times New Roman" w:hAnsi="Century Gothic" w:cs="Times New Roman"/>
          <w:color w:val="000000"/>
          <w:sz w:val="20"/>
          <w:szCs w:val="20"/>
          <w:bdr w:val="none" w:sz="0" w:space="0" w:color="auto" w:frame="1"/>
        </w:rPr>
        <w:t>-</w:t>
      </w:r>
    </w:p>
    <w:p w14:paraId="319A426B" w14:textId="5E926A4F" w:rsidR="00254995" w:rsidRPr="00254995" w:rsidRDefault="00FB69DD" w:rsidP="00254995">
      <w:pPr>
        <w:pStyle w:val="ListParagraph"/>
        <w:numPr>
          <w:ilvl w:val="0"/>
          <w:numId w:val="5"/>
        </w:numPr>
        <w:shd w:val="clear" w:color="auto" w:fill="FFFFFF"/>
        <w:spacing w:after="0" w:line="240" w:lineRule="auto"/>
        <w:jc w:val="both"/>
        <w:rPr>
          <w:rFonts w:ascii="Century Gothic" w:eastAsia="Times New Roman" w:hAnsi="Century Gothic" w:cs="Times New Roman"/>
          <w:color w:val="000000"/>
          <w:sz w:val="20"/>
          <w:szCs w:val="20"/>
          <w:bdr w:val="none" w:sz="0" w:space="0" w:color="auto" w:frame="1"/>
        </w:rPr>
      </w:pPr>
      <w:r>
        <w:rPr>
          <w:rFonts w:ascii="Century Gothic" w:eastAsia="Times New Roman" w:hAnsi="Century Gothic" w:cs="Calibri"/>
          <w:color w:val="000000"/>
          <w:sz w:val="20"/>
          <w:szCs w:val="20"/>
          <w:bdr w:val="none" w:sz="0" w:space="0" w:color="auto" w:frame="1"/>
        </w:rPr>
        <w:lastRenderedPageBreak/>
        <w:t>Shareholders have not furnished valid PAN</w:t>
      </w:r>
      <w:r w:rsidR="00BB569A">
        <w:rPr>
          <w:rFonts w:ascii="Century Gothic" w:eastAsia="Times New Roman" w:hAnsi="Century Gothic" w:cs="Calibri"/>
          <w:color w:val="000000"/>
          <w:sz w:val="20"/>
          <w:szCs w:val="20"/>
          <w:bdr w:val="none" w:sz="0" w:space="0" w:color="auto" w:frame="1"/>
        </w:rPr>
        <w:t>;</w:t>
      </w:r>
      <w:r w:rsidR="00254995" w:rsidRPr="00254995">
        <w:rPr>
          <w:rFonts w:ascii="Century Gothic" w:eastAsia="Times New Roman" w:hAnsi="Century Gothic" w:cs="Calibri"/>
          <w:color w:val="000000"/>
          <w:sz w:val="20"/>
          <w:szCs w:val="20"/>
          <w:bdr w:val="none" w:sz="0" w:space="0" w:color="auto" w:frame="1"/>
        </w:rPr>
        <w:t xml:space="preserve"> or</w:t>
      </w:r>
    </w:p>
    <w:p w14:paraId="30FC55CB" w14:textId="335ABE56" w:rsidR="005D5822" w:rsidRPr="00254995" w:rsidRDefault="00254995" w:rsidP="00254995">
      <w:pPr>
        <w:pStyle w:val="ListParagraph"/>
        <w:numPr>
          <w:ilvl w:val="0"/>
          <w:numId w:val="5"/>
        </w:numPr>
        <w:shd w:val="clear" w:color="auto" w:fill="FFFFFF"/>
        <w:spacing w:after="0" w:line="240" w:lineRule="auto"/>
        <w:jc w:val="both"/>
        <w:rPr>
          <w:rFonts w:ascii="Century Gothic" w:eastAsia="Times New Roman" w:hAnsi="Century Gothic" w:cs="Times New Roman"/>
          <w:color w:val="000000"/>
          <w:sz w:val="20"/>
          <w:szCs w:val="20"/>
          <w:bdr w:val="none" w:sz="0" w:space="0" w:color="auto" w:frame="1"/>
        </w:rPr>
      </w:pPr>
      <w:r w:rsidRPr="00254995">
        <w:rPr>
          <w:rFonts w:ascii="Century Gothic" w:eastAsia="Times New Roman" w:hAnsi="Century Gothic" w:cs="Times New Roman"/>
          <w:color w:val="000000"/>
          <w:sz w:val="20"/>
          <w:szCs w:val="20"/>
          <w:bdr w:val="none" w:sz="0" w:space="0" w:color="auto" w:frame="1"/>
        </w:rPr>
        <w:t>Individual shareholders have not linked PAN with their Aadhaar</w:t>
      </w:r>
      <w:r w:rsidR="00BB569A">
        <w:rPr>
          <w:rFonts w:ascii="Century Gothic" w:eastAsia="Times New Roman" w:hAnsi="Century Gothic" w:cs="Times New Roman"/>
          <w:color w:val="000000"/>
          <w:sz w:val="20"/>
          <w:szCs w:val="20"/>
          <w:bdr w:val="none" w:sz="0" w:space="0" w:color="auto" w:frame="1"/>
        </w:rPr>
        <w:t>,</w:t>
      </w:r>
      <w:r w:rsidR="005128D5">
        <w:rPr>
          <w:rFonts w:ascii="Century Gothic" w:eastAsia="Times New Roman" w:hAnsi="Century Gothic" w:cs="Times New Roman"/>
          <w:color w:val="000000"/>
          <w:sz w:val="20"/>
          <w:szCs w:val="20"/>
          <w:bdr w:val="none" w:sz="0" w:space="0" w:color="auto" w:frame="1"/>
        </w:rPr>
        <w:t xml:space="preserve"> </w:t>
      </w:r>
      <w:r w:rsidR="00A97EB1">
        <w:rPr>
          <w:rFonts w:ascii="Century Gothic" w:eastAsia="Times New Roman" w:hAnsi="Century Gothic" w:cs="Times New Roman"/>
          <w:color w:val="000000"/>
          <w:sz w:val="20"/>
          <w:szCs w:val="20"/>
          <w:bdr w:val="none" w:sz="0" w:space="0" w:color="auto" w:frame="1"/>
        </w:rPr>
        <w:t xml:space="preserve">rendering </w:t>
      </w:r>
      <w:r w:rsidR="005128D5">
        <w:rPr>
          <w:rFonts w:ascii="Century Gothic" w:eastAsia="Times New Roman" w:hAnsi="Century Gothic" w:cs="Times New Roman"/>
          <w:color w:val="000000"/>
          <w:sz w:val="20"/>
          <w:szCs w:val="20"/>
          <w:bdr w:val="none" w:sz="0" w:space="0" w:color="auto" w:frame="1"/>
        </w:rPr>
        <w:t xml:space="preserve">the PAN invalid </w:t>
      </w:r>
      <w:r w:rsidR="008C733E">
        <w:rPr>
          <w:rFonts w:ascii="Century Gothic" w:eastAsia="Times New Roman" w:hAnsi="Century Gothic" w:cs="Times New Roman"/>
          <w:color w:val="000000"/>
          <w:sz w:val="20"/>
          <w:szCs w:val="20"/>
          <w:bdr w:val="none" w:sz="0" w:space="0" w:color="auto" w:frame="1"/>
        </w:rPr>
        <w:t>or</w:t>
      </w:r>
      <w:r w:rsidR="005128D5">
        <w:rPr>
          <w:rFonts w:ascii="Century Gothic" w:eastAsia="Times New Roman" w:hAnsi="Century Gothic" w:cs="Times New Roman"/>
          <w:color w:val="000000"/>
          <w:sz w:val="20"/>
          <w:szCs w:val="20"/>
          <w:bdr w:val="none" w:sz="0" w:space="0" w:color="auto" w:frame="1"/>
        </w:rPr>
        <w:t xml:space="preserve"> where incorrect PAN details have been </w:t>
      </w:r>
      <w:r w:rsidR="008C733E">
        <w:rPr>
          <w:rFonts w:ascii="Century Gothic" w:eastAsia="Times New Roman" w:hAnsi="Century Gothic" w:cs="Times New Roman"/>
          <w:color w:val="000000"/>
          <w:sz w:val="20"/>
          <w:szCs w:val="20"/>
          <w:bdr w:val="none" w:sz="0" w:space="0" w:color="auto" w:frame="1"/>
        </w:rPr>
        <w:t xml:space="preserve">furnished </w:t>
      </w:r>
      <w:r w:rsidR="005128D5">
        <w:rPr>
          <w:rFonts w:ascii="Century Gothic" w:eastAsia="Times New Roman" w:hAnsi="Century Gothic" w:cs="Times New Roman"/>
          <w:color w:val="000000"/>
          <w:sz w:val="20"/>
          <w:szCs w:val="20"/>
          <w:bdr w:val="none" w:sz="0" w:space="0" w:color="auto" w:frame="1"/>
        </w:rPr>
        <w:t>by the sh</w:t>
      </w:r>
      <w:r w:rsidR="0038604F">
        <w:rPr>
          <w:rFonts w:ascii="Century Gothic" w:eastAsia="Times New Roman" w:hAnsi="Century Gothic" w:cs="Times New Roman"/>
          <w:color w:val="000000"/>
          <w:sz w:val="20"/>
          <w:szCs w:val="20"/>
          <w:bdr w:val="none" w:sz="0" w:space="0" w:color="auto" w:frame="1"/>
        </w:rPr>
        <w:t>a</w:t>
      </w:r>
      <w:r w:rsidR="005128D5">
        <w:rPr>
          <w:rFonts w:ascii="Century Gothic" w:eastAsia="Times New Roman" w:hAnsi="Century Gothic" w:cs="Times New Roman"/>
          <w:color w:val="000000"/>
          <w:sz w:val="20"/>
          <w:szCs w:val="20"/>
          <w:bdr w:val="none" w:sz="0" w:space="0" w:color="auto" w:frame="1"/>
        </w:rPr>
        <w:t xml:space="preserve">reholders, </w:t>
      </w:r>
      <w:r w:rsidR="00F46B57">
        <w:rPr>
          <w:rFonts w:ascii="Century Gothic" w:eastAsia="Times New Roman" w:hAnsi="Century Gothic" w:cs="Times New Roman"/>
          <w:color w:val="000000"/>
          <w:sz w:val="20"/>
          <w:szCs w:val="20"/>
          <w:bdr w:val="none" w:sz="0" w:space="0" w:color="auto" w:frame="1"/>
        </w:rPr>
        <w:t xml:space="preserve">as a result, </w:t>
      </w:r>
      <w:r w:rsidR="005128D5">
        <w:rPr>
          <w:rFonts w:ascii="Century Gothic" w:eastAsia="Times New Roman" w:hAnsi="Century Gothic" w:cs="Times New Roman"/>
          <w:color w:val="000000"/>
          <w:sz w:val="20"/>
          <w:szCs w:val="20"/>
          <w:bdr w:val="none" w:sz="0" w:space="0" w:color="auto" w:frame="1"/>
        </w:rPr>
        <w:t xml:space="preserve">the Company is liable to deduct TDS at a higher rate as per the provisions of </w:t>
      </w:r>
      <w:r w:rsidR="006E2143">
        <w:rPr>
          <w:rFonts w:ascii="Century Gothic" w:eastAsia="Times New Roman" w:hAnsi="Century Gothic" w:cs="Times New Roman"/>
          <w:color w:val="000000"/>
          <w:sz w:val="20"/>
          <w:szCs w:val="20"/>
          <w:bdr w:val="none" w:sz="0" w:space="0" w:color="auto" w:frame="1"/>
        </w:rPr>
        <w:t>Section 206AA of the Act</w:t>
      </w:r>
      <w:r w:rsidR="008F3ADB">
        <w:rPr>
          <w:rFonts w:ascii="Century Gothic" w:eastAsia="Times New Roman" w:hAnsi="Century Gothic" w:cs="Times New Roman"/>
          <w:color w:val="000000"/>
          <w:sz w:val="20"/>
          <w:szCs w:val="20"/>
          <w:bdr w:val="none" w:sz="0" w:space="0" w:color="auto" w:frame="1"/>
        </w:rPr>
        <w:t>;</w:t>
      </w:r>
      <w:r w:rsidR="006E2143">
        <w:rPr>
          <w:rFonts w:ascii="Century Gothic" w:eastAsia="Times New Roman" w:hAnsi="Century Gothic" w:cs="Times New Roman"/>
          <w:color w:val="000000"/>
          <w:sz w:val="20"/>
          <w:szCs w:val="20"/>
          <w:bdr w:val="none" w:sz="0" w:space="0" w:color="auto" w:frame="1"/>
        </w:rPr>
        <w:t xml:space="preserve"> </w:t>
      </w:r>
      <w:r w:rsidRPr="00254995">
        <w:rPr>
          <w:rFonts w:ascii="Century Gothic" w:eastAsia="Times New Roman" w:hAnsi="Century Gothic" w:cs="Times New Roman"/>
          <w:color w:val="000000"/>
          <w:sz w:val="20"/>
          <w:szCs w:val="20"/>
          <w:bdr w:val="none" w:sz="0" w:space="0" w:color="auto" w:frame="1"/>
        </w:rPr>
        <w:t>or</w:t>
      </w:r>
    </w:p>
    <w:p w14:paraId="06314685" w14:textId="6541E1AB" w:rsidR="00254995" w:rsidRDefault="00254995" w:rsidP="00254995">
      <w:pPr>
        <w:pStyle w:val="ListParagraph"/>
        <w:numPr>
          <w:ilvl w:val="0"/>
          <w:numId w:val="5"/>
        </w:numPr>
        <w:shd w:val="clear" w:color="auto" w:fill="FFFFFF"/>
        <w:spacing w:after="0" w:line="240" w:lineRule="auto"/>
        <w:jc w:val="both"/>
        <w:rPr>
          <w:rFonts w:ascii="Century Gothic" w:eastAsia="Times New Roman" w:hAnsi="Century Gothic" w:cs="Calibri"/>
          <w:color w:val="000000"/>
          <w:sz w:val="20"/>
          <w:szCs w:val="20"/>
          <w:bdr w:val="none" w:sz="0" w:space="0" w:color="auto" w:frame="1"/>
        </w:rPr>
      </w:pPr>
      <w:r w:rsidRPr="00620602">
        <w:rPr>
          <w:rFonts w:ascii="Century Gothic" w:eastAsia="Times New Roman" w:hAnsi="Century Gothic" w:cs="Calibri"/>
          <w:color w:val="000000"/>
          <w:sz w:val="20"/>
          <w:szCs w:val="20"/>
          <w:bdr w:val="none" w:sz="0" w:space="0" w:color="auto" w:frame="1"/>
        </w:rPr>
        <w:t xml:space="preserve">As per provision of Section 206AB of the Act, </w:t>
      </w:r>
      <w:r w:rsidR="005128D5">
        <w:rPr>
          <w:rFonts w:ascii="Century Gothic" w:eastAsia="Times New Roman" w:hAnsi="Century Gothic" w:cs="Calibri"/>
          <w:color w:val="000000"/>
          <w:sz w:val="20"/>
          <w:szCs w:val="20"/>
          <w:bdr w:val="none" w:sz="0" w:space="0" w:color="auto" w:frame="1"/>
        </w:rPr>
        <w:t xml:space="preserve">the </w:t>
      </w:r>
      <w:r w:rsidRPr="00620602">
        <w:rPr>
          <w:rFonts w:ascii="Century Gothic" w:eastAsia="Times New Roman" w:hAnsi="Century Gothic" w:cs="Calibri"/>
          <w:color w:val="000000"/>
          <w:sz w:val="20"/>
          <w:szCs w:val="20"/>
          <w:bdr w:val="none" w:sz="0" w:space="0" w:color="auto" w:frame="1"/>
        </w:rPr>
        <w:t>shareholder ha</w:t>
      </w:r>
      <w:r w:rsidR="005128D5">
        <w:rPr>
          <w:rFonts w:ascii="Century Gothic" w:eastAsia="Times New Roman" w:hAnsi="Century Gothic" w:cs="Calibri"/>
          <w:color w:val="000000"/>
          <w:sz w:val="20"/>
          <w:szCs w:val="20"/>
          <w:bdr w:val="none" w:sz="0" w:space="0" w:color="auto" w:frame="1"/>
        </w:rPr>
        <w:t>s</w:t>
      </w:r>
      <w:r w:rsidRPr="00620602">
        <w:rPr>
          <w:rFonts w:ascii="Century Gothic" w:eastAsia="Times New Roman" w:hAnsi="Century Gothic" w:cs="Calibri"/>
          <w:color w:val="000000"/>
          <w:sz w:val="20"/>
          <w:szCs w:val="20"/>
          <w:bdr w:val="none" w:sz="0" w:space="0" w:color="auto" w:frame="1"/>
        </w:rPr>
        <w:t xml:space="preserve"> not filed Income Tax returns </w:t>
      </w:r>
      <w:r w:rsidR="005128D5">
        <w:rPr>
          <w:rFonts w:ascii="Century Gothic" w:eastAsia="Times New Roman" w:hAnsi="Century Gothic" w:cs="Calibri"/>
          <w:color w:val="000000"/>
          <w:sz w:val="20"/>
          <w:szCs w:val="20"/>
          <w:bdr w:val="none" w:sz="0" w:space="0" w:color="auto" w:frame="1"/>
        </w:rPr>
        <w:t xml:space="preserve">(ITR) </w:t>
      </w:r>
      <w:r w:rsidR="008E741C">
        <w:rPr>
          <w:rFonts w:ascii="Century Gothic" w:eastAsia="Times New Roman" w:hAnsi="Century Gothic" w:cs="Calibri"/>
          <w:color w:val="000000"/>
          <w:sz w:val="20"/>
          <w:szCs w:val="20"/>
          <w:bdr w:val="none" w:sz="0" w:space="0" w:color="auto" w:frame="1"/>
        </w:rPr>
        <w:t>for</w:t>
      </w:r>
      <w:r w:rsidR="005128D5">
        <w:rPr>
          <w:rFonts w:ascii="Century Gothic" w:eastAsia="Times New Roman" w:hAnsi="Century Gothic" w:cs="Calibri"/>
          <w:color w:val="000000"/>
          <w:sz w:val="20"/>
          <w:szCs w:val="20"/>
          <w:bdr w:val="none" w:sz="0" w:space="0" w:color="auto" w:frame="1"/>
        </w:rPr>
        <w:t xml:space="preserve"> </w:t>
      </w:r>
      <w:r w:rsidR="00AB49E8">
        <w:rPr>
          <w:rFonts w:ascii="Century Gothic" w:eastAsia="Times New Roman" w:hAnsi="Century Gothic" w:cs="Calibri"/>
          <w:color w:val="000000"/>
          <w:sz w:val="20"/>
          <w:szCs w:val="20"/>
          <w:bdr w:val="none" w:sz="0" w:space="0" w:color="auto" w:frame="1"/>
        </w:rPr>
        <w:t>FY 2022-23</w:t>
      </w:r>
      <w:r w:rsidR="0038604F">
        <w:rPr>
          <w:rFonts w:ascii="Century Gothic" w:eastAsia="Times New Roman" w:hAnsi="Century Gothic" w:cs="Calibri"/>
          <w:color w:val="000000"/>
          <w:sz w:val="20"/>
          <w:szCs w:val="20"/>
          <w:bdr w:val="none" w:sz="0" w:space="0" w:color="auto" w:frame="1"/>
        </w:rPr>
        <w:t xml:space="preserve"> </w:t>
      </w:r>
      <w:r w:rsidR="0038604F" w:rsidRPr="00620602">
        <w:rPr>
          <w:rFonts w:ascii="Century Gothic" w:eastAsia="Times New Roman" w:hAnsi="Century Gothic" w:cs="Calibri"/>
          <w:color w:val="000000"/>
          <w:sz w:val="20"/>
          <w:szCs w:val="20"/>
          <w:bdr w:val="none" w:sz="0" w:space="0" w:color="auto" w:frame="1"/>
        </w:rPr>
        <w:t>and</w:t>
      </w:r>
      <w:r w:rsidRPr="00620602">
        <w:rPr>
          <w:rFonts w:ascii="Century Gothic" w:eastAsia="Times New Roman" w:hAnsi="Century Gothic" w:cs="Calibri"/>
          <w:color w:val="000000"/>
          <w:sz w:val="20"/>
          <w:szCs w:val="20"/>
          <w:bdr w:val="none" w:sz="0" w:space="0" w:color="auto" w:frame="1"/>
        </w:rPr>
        <w:t xml:space="preserve"> the aggregate of TDS and tax collected at source</w:t>
      </w:r>
      <w:r w:rsidR="00AA584D">
        <w:rPr>
          <w:rFonts w:ascii="Century Gothic" w:eastAsia="Times New Roman" w:hAnsi="Century Gothic" w:cs="Calibri"/>
          <w:color w:val="000000"/>
          <w:sz w:val="20"/>
          <w:szCs w:val="20"/>
          <w:bdr w:val="none" w:sz="0" w:space="0" w:color="auto" w:frame="1"/>
        </w:rPr>
        <w:t xml:space="preserve"> (‘TCS’)</w:t>
      </w:r>
      <w:r w:rsidRPr="00620602">
        <w:rPr>
          <w:rFonts w:ascii="Century Gothic" w:eastAsia="Times New Roman" w:hAnsi="Century Gothic" w:cs="Calibri"/>
          <w:color w:val="000000"/>
          <w:sz w:val="20"/>
          <w:szCs w:val="20"/>
          <w:bdr w:val="none" w:sz="0" w:space="0" w:color="auto" w:frame="1"/>
        </w:rPr>
        <w:t xml:space="preserve"> is Rs. 50,000 or more in the said year (‘Specified Persons’)</w:t>
      </w:r>
      <w:r w:rsidR="00903F58">
        <w:rPr>
          <w:rFonts w:ascii="Century Gothic" w:eastAsia="Times New Roman" w:hAnsi="Century Gothic" w:cs="Calibri"/>
          <w:color w:val="000000"/>
          <w:sz w:val="20"/>
          <w:szCs w:val="20"/>
          <w:bdr w:val="none" w:sz="0" w:space="0" w:color="auto" w:frame="1"/>
        </w:rPr>
        <w:t>.</w:t>
      </w:r>
    </w:p>
    <w:p w14:paraId="05C5881E" w14:textId="77777777" w:rsidR="00A1346F" w:rsidRDefault="00A1346F" w:rsidP="002A026F">
      <w:pPr>
        <w:pStyle w:val="ListParagraph"/>
        <w:shd w:val="clear" w:color="auto" w:fill="FFFFFF"/>
        <w:spacing w:after="0" w:line="240" w:lineRule="auto"/>
        <w:jc w:val="both"/>
        <w:rPr>
          <w:rFonts w:ascii="Century Gothic" w:eastAsia="Times New Roman" w:hAnsi="Century Gothic" w:cs="Calibri"/>
          <w:color w:val="323130"/>
          <w:sz w:val="20"/>
          <w:szCs w:val="20"/>
          <w:bdr w:val="none" w:sz="0" w:space="0" w:color="auto" w:frame="1"/>
          <w:lang w:val="en-IN"/>
        </w:rPr>
      </w:pPr>
    </w:p>
    <w:p w14:paraId="2B7B49EB" w14:textId="58C5B507" w:rsidR="002A026F" w:rsidRPr="00254995" w:rsidRDefault="002A026F" w:rsidP="00B7734E">
      <w:pPr>
        <w:pStyle w:val="ListParagraph"/>
        <w:numPr>
          <w:ilvl w:val="0"/>
          <w:numId w:val="9"/>
        </w:numPr>
        <w:shd w:val="clear" w:color="auto" w:fill="FFFFFF"/>
        <w:spacing w:after="0" w:line="240" w:lineRule="auto"/>
        <w:jc w:val="both"/>
        <w:rPr>
          <w:rFonts w:ascii="Century Gothic" w:eastAsia="Times New Roman" w:hAnsi="Century Gothic" w:cs="Calibri"/>
          <w:color w:val="000000"/>
          <w:sz w:val="20"/>
          <w:szCs w:val="20"/>
          <w:bdr w:val="none" w:sz="0" w:space="0" w:color="auto" w:frame="1"/>
        </w:rPr>
      </w:pPr>
      <w:r w:rsidRPr="0049418D">
        <w:rPr>
          <w:rFonts w:ascii="Century Gothic" w:eastAsia="Times New Roman" w:hAnsi="Century Gothic" w:cs="Calibri"/>
          <w:color w:val="323130"/>
          <w:sz w:val="20"/>
          <w:szCs w:val="20"/>
          <w:bdr w:val="none" w:sz="0" w:space="0" w:color="auto" w:frame="1"/>
          <w:lang w:val="en-IN"/>
        </w:rPr>
        <w:t xml:space="preserve">Where a shareholder furnishes </w:t>
      </w:r>
      <w:r>
        <w:rPr>
          <w:rFonts w:ascii="Century Gothic" w:eastAsia="Times New Roman" w:hAnsi="Century Gothic" w:cs="Calibri"/>
          <w:color w:val="323130"/>
          <w:sz w:val="20"/>
          <w:szCs w:val="20"/>
          <w:bdr w:val="none" w:sz="0" w:space="0" w:color="auto" w:frame="1"/>
          <w:lang w:val="en-IN"/>
        </w:rPr>
        <w:t xml:space="preserve">a </w:t>
      </w:r>
      <w:r w:rsidRPr="0049418D">
        <w:rPr>
          <w:rFonts w:ascii="Century Gothic" w:eastAsia="Times New Roman" w:hAnsi="Century Gothic" w:cs="Calibri"/>
          <w:color w:val="323130"/>
          <w:sz w:val="20"/>
          <w:szCs w:val="20"/>
          <w:bdr w:val="none" w:sz="0" w:space="0" w:color="auto" w:frame="1"/>
          <w:lang w:val="en-IN"/>
        </w:rPr>
        <w:t xml:space="preserve">valid lower/nil tax </w:t>
      </w:r>
      <w:r w:rsidR="00D900A5">
        <w:rPr>
          <w:rFonts w:ascii="Century Gothic" w:eastAsia="Times New Roman" w:hAnsi="Century Gothic" w:cs="Calibri"/>
          <w:color w:val="323130"/>
          <w:sz w:val="20"/>
          <w:szCs w:val="20"/>
          <w:bdr w:val="none" w:sz="0" w:space="0" w:color="auto" w:frame="1"/>
          <w:lang w:val="en-IN"/>
        </w:rPr>
        <w:t xml:space="preserve">deduction </w:t>
      </w:r>
      <w:r w:rsidRPr="0049418D">
        <w:rPr>
          <w:rFonts w:ascii="Century Gothic" w:eastAsia="Times New Roman" w:hAnsi="Century Gothic" w:cs="Calibri"/>
          <w:color w:val="323130"/>
          <w:sz w:val="20"/>
          <w:szCs w:val="20"/>
          <w:bdr w:val="none" w:sz="0" w:space="0" w:color="auto" w:frame="1"/>
          <w:lang w:val="en-IN"/>
        </w:rPr>
        <w:t xml:space="preserve">certificate </w:t>
      </w:r>
      <w:r>
        <w:rPr>
          <w:rFonts w:ascii="Century Gothic" w:eastAsia="Times New Roman" w:hAnsi="Century Gothic" w:cs="Calibri"/>
          <w:color w:val="323130"/>
          <w:sz w:val="20"/>
          <w:szCs w:val="20"/>
          <w:bdr w:val="none" w:sz="0" w:space="0" w:color="auto" w:frame="1"/>
          <w:lang w:val="en-IN"/>
        </w:rPr>
        <w:t xml:space="preserve">obtained </w:t>
      </w:r>
      <w:r w:rsidRPr="0049418D">
        <w:rPr>
          <w:rFonts w:ascii="Century Gothic" w:eastAsia="Times New Roman" w:hAnsi="Century Gothic" w:cs="Calibri"/>
          <w:color w:val="323130"/>
          <w:sz w:val="20"/>
          <w:szCs w:val="20"/>
          <w:bdr w:val="none" w:sz="0" w:space="0" w:color="auto" w:frame="1"/>
          <w:lang w:val="en-IN"/>
        </w:rPr>
        <w:t>under Section197 of the Act,</w:t>
      </w:r>
      <w:r>
        <w:rPr>
          <w:rFonts w:ascii="Century Gothic" w:eastAsia="Times New Roman" w:hAnsi="Century Gothic" w:cs="Calibri"/>
          <w:color w:val="323130"/>
          <w:sz w:val="20"/>
          <w:szCs w:val="20"/>
          <w:bdr w:val="none" w:sz="0" w:space="0" w:color="auto" w:frame="1"/>
          <w:lang w:val="en-IN"/>
        </w:rPr>
        <w:t xml:space="preserve"> from the Income Tax authorities, </w:t>
      </w:r>
      <w:r w:rsidR="00A1346F">
        <w:rPr>
          <w:rFonts w:ascii="Century Gothic" w:eastAsia="Times New Roman" w:hAnsi="Century Gothic" w:cs="Calibri"/>
          <w:color w:val="323130"/>
          <w:sz w:val="20"/>
          <w:szCs w:val="20"/>
          <w:bdr w:val="none" w:sz="0" w:space="0" w:color="auto" w:frame="1"/>
          <w:lang w:val="en-IN"/>
        </w:rPr>
        <w:t>TDS</w:t>
      </w:r>
      <w:r w:rsidRPr="0049418D">
        <w:rPr>
          <w:rFonts w:ascii="Century Gothic" w:eastAsia="Times New Roman" w:hAnsi="Century Gothic" w:cs="Calibri"/>
          <w:color w:val="323130"/>
          <w:sz w:val="20"/>
          <w:szCs w:val="20"/>
          <w:bdr w:val="none" w:sz="0" w:space="0" w:color="auto" w:frame="1"/>
          <w:lang w:val="en-IN"/>
        </w:rPr>
        <w:t xml:space="preserve"> will be </w:t>
      </w:r>
      <w:r w:rsidR="00595B87">
        <w:rPr>
          <w:rFonts w:ascii="Century Gothic" w:eastAsia="Times New Roman" w:hAnsi="Century Gothic" w:cs="Calibri"/>
          <w:color w:val="323130"/>
          <w:sz w:val="20"/>
          <w:szCs w:val="20"/>
          <w:bdr w:val="none" w:sz="0" w:space="0" w:color="auto" w:frame="1"/>
          <w:lang w:val="en-IN"/>
        </w:rPr>
        <w:t>deducted</w:t>
      </w:r>
      <w:r w:rsidR="00595B87" w:rsidRPr="0049418D">
        <w:rPr>
          <w:rFonts w:ascii="Century Gothic" w:eastAsia="Times New Roman" w:hAnsi="Century Gothic" w:cs="Calibri"/>
          <w:color w:val="323130"/>
          <w:sz w:val="20"/>
          <w:szCs w:val="20"/>
          <w:bdr w:val="none" w:sz="0" w:space="0" w:color="auto" w:frame="1"/>
          <w:lang w:val="en-IN"/>
        </w:rPr>
        <w:t xml:space="preserve"> </w:t>
      </w:r>
      <w:r w:rsidRPr="0049418D">
        <w:rPr>
          <w:rFonts w:ascii="Century Gothic" w:eastAsia="Times New Roman" w:hAnsi="Century Gothic" w:cs="Calibri"/>
          <w:color w:val="323130"/>
          <w:sz w:val="20"/>
          <w:szCs w:val="20"/>
          <w:bdr w:val="none" w:sz="0" w:space="0" w:color="auto" w:frame="1"/>
          <w:lang w:val="en-IN"/>
        </w:rPr>
        <w:t>as per the rate prescribed in such certificate.</w:t>
      </w:r>
    </w:p>
    <w:p w14:paraId="3C079658" w14:textId="42EDBFED" w:rsidR="00226F26" w:rsidRPr="00620602" w:rsidRDefault="00226F26" w:rsidP="005D5822">
      <w:pPr>
        <w:shd w:val="clear" w:color="auto" w:fill="FFFFFF"/>
        <w:spacing w:after="0" w:line="240" w:lineRule="auto"/>
        <w:ind w:left="360" w:hanging="360"/>
        <w:jc w:val="both"/>
        <w:rPr>
          <w:rFonts w:ascii="Century Gothic" w:eastAsia="Times New Roman" w:hAnsi="Century Gothic" w:cs="Segoe UI"/>
          <w:color w:val="201F1E"/>
          <w:sz w:val="20"/>
          <w:szCs w:val="20"/>
        </w:rPr>
      </w:pPr>
    </w:p>
    <w:p w14:paraId="10162FE5" w14:textId="62413185" w:rsidR="005D5822" w:rsidRDefault="005D5822" w:rsidP="0038604F">
      <w:pPr>
        <w:pStyle w:val="ListParagraph"/>
        <w:numPr>
          <w:ilvl w:val="0"/>
          <w:numId w:val="9"/>
        </w:numPr>
        <w:shd w:val="clear" w:color="auto" w:fill="FFFFFF"/>
        <w:spacing w:after="0" w:line="240" w:lineRule="auto"/>
        <w:ind w:left="360"/>
        <w:jc w:val="both"/>
        <w:rPr>
          <w:rFonts w:ascii="Century Gothic" w:eastAsia="Times New Roman" w:hAnsi="Century Gothic" w:cs="Calibri"/>
          <w:b/>
          <w:bCs/>
          <w:color w:val="000000"/>
          <w:sz w:val="20"/>
          <w:szCs w:val="20"/>
          <w:bdr w:val="none" w:sz="0" w:space="0" w:color="auto" w:frame="1"/>
        </w:rPr>
      </w:pPr>
      <w:r w:rsidRPr="00620602">
        <w:rPr>
          <w:rFonts w:ascii="Century Gothic" w:eastAsia="Times New Roman" w:hAnsi="Century Gothic" w:cs="Calibri"/>
          <w:color w:val="000000"/>
          <w:sz w:val="20"/>
          <w:szCs w:val="20"/>
          <w:bdr w:val="none" w:sz="0" w:space="0" w:color="auto" w:frame="1"/>
        </w:rPr>
        <w:t xml:space="preserve">Insurance </w:t>
      </w:r>
      <w:r w:rsidR="00B36554">
        <w:rPr>
          <w:rFonts w:ascii="Century Gothic" w:eastAsia="Times New Roman" w:hAnsi="Century Gothic" w:cs="Calibri"/>
          <w:color w:val="000000"/>
          <w:sz w:val="20"/>
          <w:szCs w:val="20"/>
          <w:bdr w:val="none" w:sz="0" w:space="0" w:color="auto" w:frame="1"/>
        </w:rPr>
        <w:t>c</w:t>
      </w:r>
      <w:r w:rsidRPr="00620602">
        <w:rPr>
          <w:rFonts w:ascii="Century Gothic" w:eastAsia="Times New Roman" w:hAnsi="Century Gothic" w:cs="Calibri"/>
          <w:color w:val="000000"/>
          <w:sz w:val="20"/>
          <w:szCs w:val="20"/>
          <w:bdr w:val="none" w:sz="0" w:space="0" w:color="auto" w:frame="1"/>
        </w:rPr>
        <w:t xml:space="preserve">ompanies, </w:t>
      </w:r>
      <w:r w:rsidR="00B36554">
        <w:rPr>
          <w:rFonts w:ascii="Century Gothic" w:eastAsia="Times New Roman" w:hAnsi="Century Gothic" w:cs="Calibri"/>
          <w:color w:val="000000"/>
          <w:sz w:val="20"/>
          <w:szCs w:val="20"/>
          <w:bdr w:val="none" w:sz="0" w:space="0" w:color="auto" w:frame="1"/>
        </w:rPr>
        <w:t>m</w:t>
      </w:r>
      <w:r w:rsidRPr="00620602">
        <w:rPr>
          <w:rFonts w:ascii="Century Gothic" w:eastAsia="Times New Roman" w:hAnsi="Century Gothic" w:cs="Calibri"/>
          <w:color w:val="000000"/>
          <w:sz w:val="20"/>
          <w:szCs w:val="20"/>
          <w:bdr w:val="none" w:sz="0" w:space="0" w:color="auto" w:frame="1"/>
        </w:rPr>
        <w:t xml:space="preserve">utual </w:t>
      </w:r>
      <w:r w:rsidR="00B36554">
        <w:rPr>
          <w:rFonts w:ascii="Century Gothic" w:eastAsia="Times New Roman" w:hAnsi="Century Gothic" w:cs="Calibri"/>
          <w:color w:val="000000"/>
          <w:sz w:val="20"/>
          <w:szCs w:val="20"/>
          <w:bdr w:val="none" w:sz="0" w:space="0" w:color="auto" w:frame="1"/>
        </w:rPr>
        <w:t>f</w:t>
      </w:r>
      <w:r w:rsidRPr="00620602">
        <w:rPr>
          <w:rFonts w:ascii="Century Gothic" w:eastAsia="Times New Roman" w:hAnsi="Century Gothic" w:cs="Calibri"/>
          <w:color w:val="000000"/>
          <w:sz w:val="20"/>
          <w:szCs w:val="20"/>
          <w:bdr w:val="none" w:sz="0" w:space="0" w:color="auto" w:frame="1"/>
        </w:rPr>
        <w:t>unds registered under Section 10(23D) of the Act, Alternate Investment Funds established/incorporated in India, whose income is exempt under Section 10 (23FBA) of the Act and Government</w:t>
      </w:r>
      <w:r w:rsidR="00D22A75" w:rsidRPr="00620602">
        <w:rPr>
          <w:rFonts w:ascii="Century Gothic" w:eastAsia="Times New Roman" w:hAnsi="Century Gothic" w:cs="Calibri"/>
          <w:color w:val="000000"/>
          <w:sz w:val="20"/>
          <w:szCs w:val="20"/>
          <w:bdr w:val="none" w:sz="0" w:space="0" w:color="auto" w:frame="1"/>
        </w:rPr>
        <w:t>s</w:t>
      </w:r>
      <w:r w:rsidRPr="00620602">
        <w:rPr>
          <w:rFonts w:ascii="Century Gothic" w:eastAsia="Times New Roman" w:hAnsi="Century Gothic" w:cs="Calibri"/>
          <w:color w:val="000000"/>
          <w:sz w:val="20"/>
          <w:szCs w:val="20"/>
          <w:bdr w:val="none" w:sz="0" w:space="0" w:color="auto" w:frame="1"/>
        </w:rPr>
        <w:t xml:space="preserve"> (Central/State) shall provide declaration</w:t>
      </w:r>
      <w:r w:rsidR="00A925C4" w:rsidRPr="00620602">
        <w:rPr>
          <w:rFonts w:ascii="Century Gothic" w:eastAsia="Times New Roman" w:hAnsi="Century Gothic" w:cs="Calibri"/>
          <w:color w:val="000000"/>
          <w:sz w:val="20"/>
          <w:szCs w:val="20"/>
          <w:bdr w:val="none" w:sz="0" w:space="0" w:color="auto" w:frame="1"/>
        </w:rPr>
        <w:t xml:space="preserve"> </w:t>
      </w:r>
      <w:r w:rsidR="00B26CD5" w:rsidRPr="00620602">
        <w:rPr>
          <w:rFonts w:ascii="Century Gothic" w:eastAsia="Times New Roman" w:hAnsi="Century Gothic" w:cs="Calibri"/>
          <w:color w:val="000000"/>
          <w:sz w:val="20"/>
          <w:szCs w:val="20"/>
          <w:bdr w:val="none" w:sz="0" w:space="0" w:color="auto" w:frame="1"/>
        </w:rPr>
        <w:t>in the link given at the end of this communication as</w:t>
      </w:r>
      <w:r w:rsidR="00B26CD5" w:rsidRPr="00620602">
        <w:rPr>
          <w:rFonts w:ascii="Century Gothic" w:eastAsia="Times New Roman" w:hAnsi="Century Gothic" w:cs="Calibri"/>
          <w:b/>
          <w:bCs/>
          <w:color w:val="000000"/>
          <w:sz w:val="20"/>
          <w:szCs w:val="20"/>
          <w:bdr w:val="none" w:sz="0" w:space="0" w:color="auto" w:frame="1"/>
        </w:rPr>
        <w:t xml:space="preserve"> Annexure III.</w:t>
      </w:r>
    </w:p>
    <w:p w14:paraId="1AB9FA04" w14:textId="6BB924D9" w:rsidR="00AB4F1F" w:rsidRDefault="00AB4F1F" w:rsidP="005D5822">
      <w:pPr>
        <w:shd w:val="clear" w:color="auto" w:fill="FFFFFF"/>
        <w:spacing w:after="0" w:line="240" w:lineRule="auto"/>
        <w:ind w:left="360" w:hanging="360"/>
        <w:jc w:val="both"/>
        <w:rPr>
          <w:rFonts w:ascii="Century Gothic" w:eastAsia="Times New Roman" w:hAnsi="Century Gothic" w:cs="Calibri"/>
          <w:b/>
          <w:bCs/>
          <w:color w:val="000000"/>
          <w:sz w:val="20"/>
          <w:szCs w:val="20"/>
          <w:bdr w:val="none" w:sz="0" w:space="0" w:color="auto" w:frame="1"/>
        </w:rPr>
      </w:pPr>
    </w:p>
    <w:p w14:paraId="48A94B4E" w14:textId="7BBE1114" w:rsidR="00AB4F1F" w:rsidRPr="00620602" w:rsidRDefault="00AB4F1F" w:rsidP="0038604F">
      <w:pPr>
        <w:pStyle w:val="ListParagraph"/>
        <w:numPr>
          <w:ilvl w:val="0"/>
          <w:numId w:val="9"/>
        </w:numPr>
        <w:shd w:val="clear" w:color="auto" w:fill="FFFFFF"/>
        <w:spacing w:after="0" w:line="240" w:lineRule="auto"/>
        <w:ind w:left="360"/>
        <w:jc w:val="both"/>
        <w:rPr>
          <w:rFonts w:ascii="Century Gothic" w:eastAsia="Times New Roman" w:hAnsi="Century Gothic" w:cs="Calibri"/>
          <w:color w:val="000000"/>
          <w:sz w:val="20"/>
          <w:szCs w:val="20"/>
          <w:bdr w:val="none" w:sz="0" w:space="0" w:color="auto" w:frame="1"/>
        </w:rPr>
      </w:pPr>
      <w:r w:rsidRPr="00AB4F1F">
        <w:rPr>
          <w:rFonts w:ascii="Century Gothic" w:eastAsia="Times New Roman" w:hAnsi="Century Gothic" w:cs="Calibri"/>
          <w:b/>
          <w:bCs/>
          <w:color w:val="000000"/>
          <w:sz w:val="20"/>
          <w:szCs w:val="20"/>
          <w:bdr w:val="none" w:sz="0" w:space="0" w:color="auto" w:frame="1"/>
        </w:rPr>
        <w:t xml:space="preserve">Transferring credit </w:t>
      </w:r>
      <w:r w:rsidR="00897A38">
        <w:rPr>
          <w:rFonts w:ascii="Century Gothic" w:eastAsia="Times New Roman" w:hAnsi="Century Gothic" w:cs="Calibri"/>
          <w:b/>
          <w:bCs/>
          <w:color w:val="000000"/>
          <w:sz w:val="20"/>
          <w:szCs w:val="20"/>
          <w:bdr w:val="none" w:sz="0" w:space="0" w:color="auto" w:frame="1"/>
        </w:rPr>
        <w:t xml:space="preserve">of tax deducted at source </w:t>
      </w:r>
      <w:r w:rsidRPr="00AB4F1F">
        <w:rPr>
          <w:rFonts w:ascii="Century Gothic" w:eastAsia="Times New Roman" w:hAnsi="Century Gothic" w:cs="Calibri"/>
          <w:b/>
          <w:bCs/>
          <w:color w:val="000000"/>
          <w:sz w:val="20"/>
          <w:szCs w:val="20"/>
          <w:bdr w:val="none" w:sz="0" w:space="0" w:color="auto" w:frame="1"/>
        </w:rPr>
        <w:t xml:space="preserve">to </w:t>
      </w:r>
      <w:r w:rsidR="00721283">
        <w:rPr>
          <w:rFonts w:ascii="Century Gothic" w:eastAsia="Times New Roman" w:hAnsi="Century Gothic" w:cs="Calibri"/>
          <w:b/>
          <w:bCs/>
          <w:color w:val="000000"/>
          <w:sz w:val="20"/>
          <w:szCs w:val="20"/>
          <w:bdr w:val="none" w:sz="0" w:space="0" w:color="auto" w:frame="1"/>
        </w:rPr>
        <w:t>other person</w:t>
      </w:r>
      <w:r w:rsidRPr="00AB4F1F">
        <w:rPr>
          <w:rFonts w:ascii="Century Gothic" w:eastAsia="Times New Roman" w:hAnsi="Century Gothic" w:cs="Calibri"/>
          <w:b/>
          <w:bCs/>
          <w:color w:val="000000"/>
          <w:sz w:val="20"/>
          <w:szCs w:val="20"/>
          <w:bdr w:val="none" w:sz="0" w:space="0" w:color="auto" w:frame="1"/>
        </w:rPr>
        <w:t>:</w:t>
      </w:r>
      <w:r w:rsidRPr="00AB4F1F">
        <w:rPr>
          <w:rFonts w:ascii="Century Gothic" w:eastAsia="Times New Roman" w:hAnsi="Century Gothic" w:cs="Calibri"/>
          <w:color w:val="000000"/>
          <w:sz w:val="20"/>
          <w:szCs w:val="20"/>
          <w:bdr w:val="none" w:sz="0" w:space="0" w:color="auto" w:frame="1"/>
        </w:rPr>
        <w:t xml:space="preserve"> As per Rule 37BA of the Income-Tax Rules, 1962, in case where the dividend is received in the hands of one person but is assessable in the hands of other person, the tax may be deducted in the name of such other person if the first-mentioned person provides a declaration </w:t>
      </w:r>
      <w:r w:rsidR="00721283">
        <w:rPr>
          <w:rFonts w:ascii="Century Gothic" w:eastAsia="Times New Roman" w:hAnsi="Century Gothic" w:cs="Calibri"/>
          <w:color w:val="000000"/>
          <w:sz w:val="20"/>
          <w:szCs w:val="20"/>
          <w:bdr w:val="none" w:sz="0" w:space="0" w:color="auto" w:frame="1"/>
        </w:rPr>
        <w:t>containing specified information of the other person.</w:t>
      </w:r>
      <w:r w:rsidRPr="00AB4F1F">
        <w:rPr>
          <w:rFonts w:ascii="Century Gothic" w:eastAsia="Times New Roman" w:hAnsi="Century Gothic" w:cs="Calibri"/>
          <w:color w:val="000000"/>
          <w:sz w:val="20"/>
          <w:szCs w:val="20"/>
          <w:bdr w:val="none" w:sz="0" w:space="0" w:color="auto" w:frame="1"/>
        </w:rPr>
        <w:t xml:space="preserve"> </w:t>
      </w:r>
      <w:r>
        <w:rPr>
          <w:rFonts w:ascii="Century Gothic" w:eastAsia="Times New Roman" w:hAnsi="Century Gothic" w:cs="Calibri"/>
          <w:color w:val="000000"/>
          <w:sz w:val="20"/>
          <w:szCs w:val="20"/>
          <w:bdr w:val="none" w:sz="0" w:space="0" w:color="auto" w:frame="1"/>
        </w:rPr>
        <w:t xml:space="preserve">Link of the </w:t>
      </w:r>
      <w:r w:rsidRPr="00620602">
        <w:rPr>
          <w:rFonts w:ascii="Century Gothic" w:eastAsia="Times New Roman" w:hAnsi="Century Gothic" w:cs="Calibri"/>
          <w:color w:val="000000"/>
          <w:sz w:val="20"/>
          <w:szCs w:val="20"/>
          <w:bdr w:val="none" w:sz="0" w:space="0" w:color="auto" w:frame="1"/>
        </w:rPr>
        <w:t xml:space="preserve">declaration </w:t>
      </w:r>
      <w:r>
        <w:rPr>
          <w:rFonts w:ascii="Century Gothic" w:eastAsia="Times New Roman" w:hAnsi="Century Gothic" w:cs="Calibri"/>
          <w:color w:val="000000"/>
          <w:sz w:val="20"/>
          <w:szCs w:val="20"/>
          <w:bdr w:val="none" w:sz="0" w:space="0" w:color="auto" w:frame="1"/>
        </w:rPr>
        <w:t xml:space="preserve">is </w:t>
      </w:r>
      <w:r w:rsidRPr="00620602">
        <w:rPr>
          <w:rFonts w:ascii="Century Gothic" w:eastAsia="Times New Roman" w:hAnsi="Century Gothic" w:cs="Calibri"/>
          <w:color w:val="000000"/>
          <w:sz w:val="20"/>
          <w:szCs w:val="20"/>
          <w:bdr w:val="none" w:sz="0" w:space="0" w:color="auto" w:frame="1"/>
        </w:rPr>
        <w:t>given at the end of this communication as</w:t>
      </w:r>
      <w:r w:rsidRPr="00620602">
        <w:rPr>
          <w:rFonts w:ascii="Century Gothic" w:eastAsia="Times New Roman" w:hAnsi="Century Gothic" w:cs="Calibri"/>
          <w:b/>
          <w:bCs/>
          <w:color w:val="000000"/>
          <w:sz w:val="20"/>
          <w:szCs w:val="20"/>
          <w:bdr w:val="none" w:sz="0" w:space="0" w:color="auto" w:frame="1"/>
        </w:rPr>
        <w:t xml:space="preserve"> Annexure I</w:t>
      </w:r>
      <w:r>
        <w:rPr>
          <w:rFonts w:ascii="Century Gothic" w:eastAsia="Times New Roman" w:hAnsi="Century Gothic" w:cs="Calibri"/>
          <w:b/>
          <w:bCs/>
          <w:color w:val="000000"/>
          <w:sz w:val="20"/>
          <w:szCs w:val="20"/>
          <w:bdr w:val="none" w:sz="0" w:space="0" w:color="auto" w:frame="1"/>
        </w:rPr>
        <w:t>V</w:t>
      </w:r>
      <w:r w:rsidRPr="00620602">
        <w:rPr>
          <w:rFonts w:ascii="Century Gothic" w:eastAsia="Times New Roman" w:hAnsi="Century Gothic" w:cs="Calibri"/>
          <w:b/>
          <w:bCs/>
          <w:color w:val="000000"/>
          <w:sz w:val="20"/>
          <w:szCs w:val="20"/>
          <w:bdr w:val="none" w:sz="0" w:space="0" w:color="auto" w:frame="1"/>
        </w:rPr>
        <w:t>.</w:t>
      </w:r>
    </w:p>
    <w:p w14:paraId="3E381904"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09248A78" w14:textId="77777777" w:rsidR="005D5822" w:rsidRPr="0038604F" w:rsidRDefault="005D5822" w:rsidP="0038604F">
      <w:pPr>
        <w:pStyle w:val="ListParagraph"/>
        <w:numPr>
          <w:ilvl w:val="0"/>
          <w:numId w:val="8"/>
        </w:numPr>
        <w:shd w:val="clear" w:color="auto" w:fill="FFFFFF"/>
        <w:spacing w:after="0" w:line="240" w:lineRule="auto"/>
        <w:ind w:left="360"/>
        <w:jc w:val="both"/>
        <w:rPr>
          <w:rFonts w:ascii="Century Gothic" w:eastAsia="Times New Roman" w:hAnsi="Century Gothic" w:cs="Calibri"/>
          <w:b/>
          <w:bCs/>
          <w:color w:val="000000"/>
          <w:bdr w:val="none" w:sz="0" w:space="0" w:color="auto" w:frame="1"/>
        </w:rPr>
      </w:pPr>
      <w:r w:rsidRPr="0038604F">
        <w:rPr>
          <w:rFonts w:ascii="Century Gothic" w:eastAsia="Times New Roman" w:hAnsi="Century Gothic" w:cs="Calibri"/>
          <w:b/>
          <w:bCs/>
          <w:color w:val="000000"/>
          <w:bdr w:val="none" w:sz="0" w:space="0" w:color="auto" w:frame="1"/>
        </w:rPr>
        <w:t>Non-Resident Shareholders:</w:t>
      </w:r>
    </w:p>
    <w:p w14:paraId="59E0D32B"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411626A1" w14:textId="2B12A365" w:rsidR="005D5822" w:rsidRPr="00620602" w:rsidRDefault="001A679D" w:rsidP="00721283">
      <w:pPr>
        <w:shd w:val="clear" w:color="auto" w:fill="FFFFFF"/>
        <w:spacing w:after="0" w:line="240" w:lineRule="auto"/>
        <w:ind w:hanging="360"/>
        <w:jc w:val="both"/>
        <w:rPr>
          <w:rFonts w:ascii="Century Gothic" w:eastAsia="Times New Roman" w:hAnsi="Century Gothic" w:cs="Segoe UI"/>
          <w:color w:val="201F1E"/>
          <w:sz w:val="20"/>
          <w:szCs w:val="20"/>
        </w:rPr>
      </w:pPr>
      <w:r>
        <w:rPr>
          <w:rFonts w:ascii="Century Gothic" w:eastAsia="Times New Roman" w:hAnsi="Century Gothic" w:cs="Calibri"/>
          <w:b/>
          <w:bCs/>
          <w:color w:val="201F1E"/>
          <w:sz w:val="20"/>
          <w:szCs w:val="20"/>
          <w:bdr w:val="none" w:sz="0" w:space="0" w:color="auto" w:frame="1"/>
        </w:rPr>
        <w:t xml:space="preserve">      </w:t>
      </w:r>
      <w:r w:rsidR="00F94D1C">
        <w:rPr>
          <w:rFonts w:ascii="Century Gothic" w:eastAsia="Times New Roman" w:hAnsi="Century Gothic" w:cs="Calibri"/>
          <w:color w:val="201F1E"/>
          <w:sz w:val="20"/>
          <w:szCs w:val="20"/>
          <w:bdr w:val="none" w:sz="0" w:space="0" w:color="auto" w:frame="1"/>
        </w:rPr>
        <w:t xml:space="preserve">Tax will be deducted @ 20% (plus applicable surcharge and </w:t>
      </w:r>
      <w:proofErr w:type="spellStart"/>
      <w:r w:rsidR="00F94D1C">
        <w:rPr>
          <w:rFonts w:ascii="Century Gothic" w:eastAsia="Times New Roman" w:hAnsi="Century Gothic" w:cs="Calibri"/>
          <w:color w:val="201F1E"/>
          <w:sz w:val="20"/>
          <w:szCs w:val="20"/>
          <w:bdr w:val="none" w:sz="0" w:space="0" w:color="auto" w:frame="1"/>
        </w:rPr>
        <w:t>cess</w:t>
      </w:r>
      <w:proofErr w:type="spellEnd"/>
      <w:r w:rsidR="00F94D1C">
        <w:rPr>
          <w:rFonts w:ascii="Century Gothic" w:eastAsia="Times New Roman" w:hAnsi="Century Gothic" w:cs="Calibri"/>
          <w:color w:val="201F1E"/>
          <w:sz w:val="20"/>
          <w:szCs w:val="20"/>
          <w:bdr w:val="none" w:sz="0" w:space="0" w:color="auto" w:frame="1"/>
        </w:rPr>
        <w:t>) as per the Act or rate prescribed under Double Tax Avoidance Agreement (</w:t>
      </w:r>
      <w:r w:rsidR="00E2046E">
        <w:rPr>
          <w:rFonts w:ascii="Century Gothic" w:eastAsia="Times New Roman" w:hAnsi="Century Gothic" w:cs="Calibri"/>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DTAA</w:t>
      </w:r>
      <w:r w:rsidR="00E2046E">
        <w:rPr>
          <w:rFonts w:ascii="Century Gothic" w:eastAsia="Times New Roman" w:hAnsi="Century Gothic" w:cs="Calibri"/>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 between India and the country of tax residence of shareholders, whichever is lower, on the amount of dividend payable to non-resident shareholders (including Foreign Institutional Investors (</w:t>
      </w:r>
      <w:r w:rsidR="00C16651">
        <w:rPr>
          <w:rFonts w:ascii="Century Gothic" w:eastAsia="Times New Roman" w:hAnsi="Century Gothic" w:cs="Calibri"/>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FIIs</w:t>
      </w:r>
      <w:r w:rsidR="004A415E">
        <w:rPr>
          <w:rFonts w:ascii="Century Gothic" w:eastAsia="Times New Roman" w:hAnsi="Century Gothic" w:cs="Calibri"/>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 and Foreign Portfolio Investors (</w:t>
      </w:r>
      <w:r w:rsidR="004A415E">
        <w:rPr>
          <w:rFonts w:ascii="Century Gothic" w:eastAsia="Times New Roman" w:hAnsi="Century Gothic" w:cs="Calibri"/>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FPIs</w:t>
      </w:r>
      <w:r w:rsidR="004A415E">
        <w:rPr>
          <w:rFonts w:ascii="Century Gothic" w:eastAsia="Times New Roman" w:hAnsi="Century Gothic" w:cs="Calibri"/>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w:t>
      </w:r>
    </w:p>
    <w:p w14:paraId="09D4CABB" w14:textId="77777777" w:rsidR="005D5822" w:rsidRPr="00620602" w:rsidRDefault="005D5822" w:rsidP="00721283">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43720C0D" w14:textId="563EE0F5" w:rsidR="005D5822" w:rsidRPr="001A5AC1" w:rsidRDefault="005D5822" w:rsidP="00721283">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xml:space="preserve">To avail </w:t>
      </w:r>
      <w:r w:rsidR="002A026F">
        <w:rPr>
          <w:rFonts w:ascii="Century Gothic" w:eastAsia="Times New Roman" w:hAnsi="Century Gothic" w:cs="Calibri"/>
          <w:color w:val="201F1E"/>
          <w:sz w:val="20"/>
          <w:szCs w:val="20"/>
          <w:bdr w:val="none" w:sz="0" w:space="0" w:color="auto" w:frame="1"/>
        </w:rPr>
        <w:t>D</w:t>
      </w:r>
      <w:r w:rsidRPr="00620602">
        <w:rPr>
          <w:rFonts w:ascii="Century Gothic" w:eastAsia="Times New Roman" w:hAnsi="Century Gothic" w:cs="Calibri"/>
          <w:color w:val="201F1E"/>
          <w:sz w:val="20"/>
          <w:szCs w:val="20"/>
          <w:bdr w:val="none" w:sz="0" w:space="0" w:color="auto" w:frame="1"/>
        </w:rPr>
        <w:t xml:space="preserve">TAA benefits, non-resident shareholders </w:t>
      </w:r>
      <w:r w:rsidR="00F94D1C">
        <w:rPr>
          <w:rFonts w:ascii="Century Gothic" w:eastAsia="Times New Roman" w:hAnsi="Century Gothic" w:cs="Calibri"/>
          <w:color w:val="201F1E"/>
          <w:sz w:val="20"/>
          <w:szCs w:val="20"/>
          <w:bdr w:val="none" w:sz="0" w:space="0" w:color="auto" w:frame="1"/>
        </w:rPr>
        <w:t xml:space="preserve">are required to </w:t>
      </w:r>
      <w:r w:rsidRPr="00620602">
        <w:rPr>
          <w:rFonts w:ascii="Century Gothic" w:eastAsia="Times New Roman" w:hAnsi="Century Gothic" w:cs="Calibri"/>
          <w:color w:val="201F1E"/>
          <w:sz w:val="20"/>
          <w:szCs w:val="20"/>
          <w:bdr w:val="none" w:sz="0" w:space="0" w:color="auto" w:frame="1"/>
        </w:rPr>
        <w:t xml:space="preserve">furnish the following documents </w:t>
      </w:r>
      <w:r w:rsidR="00F94D1C" w:rsidRPr="00F94D1C">
        <w:rPr>
          <w:rFonts w:ascii="Century Gothic" w:eastAsia="Times New Roman" w:hAnsi="Century Gothic" w:cs="Calibri"/>
          <w:b/>
          <w:bCs/>
          <w:color w:val="201F1E"/>
          <w:sz w:val="20"/>
          <w:szCs w:val="20"/>
          <w:bdr w:val="none" w:sz="0" w:space="0" w:color="auto" w:frame="1"/>
        </w:rPr>
        <w:t>not later than 5.00 p</w:t>
      </w:r>
      <w:r w:rsidR="002D5B0B">
        <w:rPr>
          <w:rFonts w:ascii="Century Gothic" w:eastAsia="Times New Roman" w:hAnsi="Century Gothic" w:cs="Calibri"/>
          <w:b/>
          <w:bCs/>
          <w:color w:val="201F1E"/>
          <w:sz w:val="20"/>
          <w:szCs w:val="20"/>
          <w:bdr w:val="none" w:sz="0" w:space="0" w:color="auto" w:frame="1"/>
        </w:rPr>
        <w:t>.</w:t>
      </w:r>
      <w:r w:rsidR="00F94D1C" w:rsidRPr="00F94D1C">
        <w:rPr>
          <w:rFonts w:ascii="Century Gothic" w:eastAsia="Times New Roman" w:hAnsi="Century Gothic" w:cs="Calibri"/>
          <w:b/>
          <w:bCs/>
          <w:color w:val="201F1E"/>
          <w:sz w:val="20"/>
          <w:szCs w:val="20"/>
          <w:bdr w:val="none" w:sz="0" w:space="0" w:color="auto" w:frame="1"/>
        </w:rPr>
        <w:t>m</w:t>
      </w:r>
      <w:r w:rsidR="002D5B0B">
        <w:rPr>
          <w:rFonts w:ascii="Century Gothic" w:eastAsia="Times New Roman" w:hAnsi="Century Gothic" w:cs="Calibri"/>
          <w:b/>
          <w:bCs/>
          <w:color w:val="201F1E"/>
          <w:sz w:val="20"/>
          <w:szCs w:val="20"/>
          <w:bdr w:val="none" w:sz="0" w:space="0" w:color="auto" w:frame="1"/>
        </w:rPr>
        <w:t>.</w:t>
      </w:r>
      <w:r w:rsidR="00F94D1C" w:rsidRPr="00F94D1C">
        <w:rPr>
          <w:rFonts w:ascii="Century Gothic" w:eastAsia="Times New Roman" w:hAnsi="Century Gothic" w:cs="Calibri"/>
          <w:b/>
          <w:bCs/>
          <w:color w:val="201F1E"/>
          <w:sz w:val="20"/>
          <w:szCs w:val="20"/>
          <w:bdr w:val="none" w:sz="0" w:space="0" w:color="auto" w:frame="1"/>
        </w:rPr>
        <w:t xml:space="preserve"> (IST) on </w:t>
      </w:r>
      <w:r w:rsidR="006E2143">
        <w:rPr>
          <w:rFonts w:ascii="Century Gothic" w:eastAsia="Times New Roman" w:hAnsi="Century Gothic" w:cs="Calibri"/>
          <w:b/>
          <w:bCs/>
          <w:color w:val="201F1E"/>
          <w:sz w:val="20"/>
          <w:szCs w:val="20"/>
          <w:bdr w:val="none" w:sz="0" w:space="0" w:color="auto" w:frame="1"/>
        </w:rPr>
        <w:t>Wednesday,</w:t>
      </w:r>
      <w:r w:rsidR="00F94D1C" w:rsidRPr="00F94D1C">
        <w:rPr>
          <w:rFonts w:ascii="Century Gothic" w:eastAsia="Times New Roman" w:hAnsi="Century Gothic" w:cs="Calibri"/>
          <w:b/>
          <w:bCs/>
          <w:color w:val="201F1E"/>
          <w:sz w:val="20"/>
          <w:szCs w:val="20"/>
          <w:bdr w:val="none" w:sz="0" w:space="0" w:color="auto" w:frame="1"/>
        </w:rPr>
        <w:t xml:space="preserve"> July 1</w:t>
      </w:r>
      <w:r w:rsidR="006E2143">
        <w:rPr>
          <w:rFonts w:ascii="Century Gothic" w:eastAsia="Times New Roman" w:hAnsi="Century Gothic" w:cs="Calibri"/>
          <w:b/>
          <w:bCs/>
          <w:color w:val="201F1E"/>
          <w:sz w:val="20"/>
          <w:szCs w:val="20"/>
          <w:bdr w:val="none" w:sz="0" w:space="0" w:color="auto" w:frame="1"/>
        </w:rPr>
        <w:t>0</w:t>
      </w:r>
      <w:r w:rsidR="00F94D1C" w:rsidRPr="00F94D1C">
        <w:rPr>
          <w:rFonts w:ascii="Century Gothic" w:eastAsia="Times New Roman" w:hAnsi="Century Gothic" w:cs="Calibri"/>
          <w:b/>
          <w:bCs/>
          <w:color w:val="201F1E"/>
          <w:sz w:val="20"/>
          <w:szCs w:val="20"/>
          <w:bdr w:val="none" w:sz="0" w:space="0" w:color="auto" w:frame="1"/>
        </w:rPr>
        <w:t>, 202</w:t>
      </w:r>
      <w:r w:rsidR="00714B0C">
        <w:rPr>
          <w:rFonts w:ascii="Century Gothic" w:eastAsia="Times New Roman" w:hAnsi="Century Gothic" w:cs="Calibri"/>
          <w:b/>
          <w:bCs/>
          <w:color w:val="201F1E"/>
          <w:sz w:val="20"/>
          <w:szCs w:val="20"/>
          <w:bdr w:val="none" w:sz="0" w:space="0" w:color="auto" w:frame="1"/>
        </w:rPr>
        <w:t>4</w:t>
      </w:r>
      <w:r w:rsidR="00F94D1C">
        <w:rPr>
          <w:rFonts w:ascii="Century Gothic" w:eastAsia="Times New Roman" w:hAnsi="Century Gothic" w:cs="Calibri"/>
          <w:b/>
          <w:bCs/>
          <w:color w:val="201F1E"/>
          <w:sz w:val="20"/>
          <w:szCs w:val="20"/>
          <w:bdr w:val="none" w:sz="0" w:space="0" w:color="auto" w:frame="1"/>
        </w:rPr>
        <w:t>,</w:t>
      </w:r>
      <w:r w:rsidR="00F94D1C">
        <w:rPr>
          <w:rFonts w:ascii="Century Gothic" w:eastAsia="Times New Roman" w:hAnsi="Century Gothic" w:cs="Calibri"/>
          <w:color w:val="201F1E"/>
          <w:sz w:val="20"/>
          <w:szCs w:val="20"/>
          <w:bdr w:val="none" w:sz="0" w:space="0" w:color="auto" w:frame="1"/>
        </w:rPr>
        <w:t xml:space="preserve"> </w:t>
      </w:r>
      <w:r w:rsidRPr="00620602">
        <w:rPr>
          <w:rFonts w:ascii="Century Gothic" w:eastAsia="Times New Roman" w:hAnsi="Century Gothic" w:cs="Calibri"/>
          <w:color w:val="201F1E"/>
          <w:sz w:val="20"/>
          <w:szCs w:val="20"/>
          <w:bdr w:val="none" w:sz="0" w:space="0" w:color="auto" w:frame="1"/>
        </w:rPr>
        <w:t>to </w:t>
      </w:r>
      <w:r w:rsidR="00F22C2E" w:rsidRPr="00620602" w:rsidDel="00F22C2E">
        <w:rPr>
          <w:rFonts w:ascii="Century Gothic" w:eastAsia="Times New Roman" w:hAnsi="Century Gothic" w:cs="Calibri"/>
          <w:color w:val="201F1E"/>
          <w:sz w:val="20"/>
          <w:szCs w:val="20"/>
          <w:bdr w:val="none" w:sz="0" w:space="0" w:color="auto" w:frame="1"/>
        </w:rPr>
        <w:t xml:space="preserve"> </w:t>
      </w:r>
      <w:r w:rsidRPr="00620602">
        <w:rPr>
          <w:rFonts w:ascii="Century Gothic" w:eastAsia="Times New Roman" w:hAnsi="Century Gothic" w:cs="Calibri"/>
          <w:color w:val="201F1E"/>
          <w:sz w:val="20"/>
          <w:szCs w:val="20"/>
          <w:bdr w:val="none" w:sz="0" w:space="0" w:color="auto" w:frame="1"/>
        </w:rPr>
        <w:t>Link Intime,</w:t>
      </w:r>
      <w:r w:rsidRPr="00620602">
        <w:rPr>
          <w:rFonts w:ascii="Century Gothic" w:eastAsia="Times New Roman" w:hAnsi="Century Gothic" w:cs="Calibri"/>
          <w:b/>
          <w:bCs/>
          <w:color w:val="201F1E"/>
          <w:sz w:val="20"/>
          <w:szCs w:val="20"/>
          <w:bdr w:val="none" w:sz="0" w:space="0" w:color="auto" w:frame="1"/>
        </w:rPr>
        <w:t> </w:t>
      </w:r>
      <w:r w:rsidR="00A13F75">
        <w:rPr>
          <w:rFonts w:ascii="Century Gothic" w:eastAsia="Times New Roman" w:hAnsi="Century Gothic" w:cs="Calibri"/>
          <w:color w:val="201F1E"/>
          <w:sz w:val="20"/>
          <w:szCs w:val="20"/>
          <w:bdr w:val="none" w:sz="0" w:space="0" w:color="auto" w:frame="1"/>
        </w:rPr>
        <w:t>RTA</w:t>
      </w:r>
      <w:r w:rsidRPr="00620602">
        <w:rPr>
          <w:rFonts w:ascii="Century Gothic" w:eastAsia="Times New Roman" w:hAnsi="Century Gothic" w:cs="Calibri"/>
          <w:color w:val="201F1E"/>
          <w:sz w:val="20"/>
          <w:szCs w:val="20"/>
          <w:bdr w:val="none" w:sz="0" w:space="0" w:color="auto" w:frame="1"/>
        </w:rPr>
        <w:t xml:space="preserve"> of the Company</w:t>
      </w:r>
      <w:r w:rsidR="003B0775" w:rsidRPr="00620602">
        <w:rPr>
          <w:rFonts w:ascii="Century Gothic" w:eastAsia="Times New Roman" w:hAnsi="Century Gothic" w:cs="Calibri"/>
          <w:color w:val="201F1E"/>
          <w:sz w:val="20"/>
          <w:szCs w:val="20"/>
          <w:bdr w:val="none" w:sz="0" w:space="0" w:color="auto" w:frame="1"/>
        </w:rPr>
        <w:t xml:space="preserve"> </w:t>
      </w:r>
      <w:r w:rsidR="00952D0F" w:rsidRPr="00620602">
        <w:rPr>
          <w:rFonts w:ascii="Century Gothic" w:eastAsia="Times New Roman" w:hAnsi="Century Gothic" w:cs="Calibri"/>
          <w:color w:val="201F1E"/>
          <w:sz w:val="20"/>
          <w:szCs w:val="20"/>
          <w:bdr w:val="none" w:sz="0" w:space="0" w:color="auto" w:frame="1"/>
        </w:rPr>
        <w:t xml:space="preserve">via </w:t>
      </w:r>
      <w:r w:rsidR="007F4C38" w:rsidRPr="00620602">
        <w:rPr>
          <w:rFonts w:ascii="Century Gothic" w:eastAsia="Times New Roman" w:hAnsi="Century Gothic" w:cs="Calibri"/>
          <w:color w:val="201F1E"/>
          <w:sz w:val="20"/>
          <w:szCs w:val="20"/>
          <w:bdr w:val="none" w:sz="0" w:space="0" w:color="auto" w:frame="1"/>
        </w:rPr>
        <w:t xml:space="preserve">link </w:t>
      </w:r>
      <w:hyperlink r:id="rId12" w:history="1">
        <w:r w:rsidR="00BC192C" w:rsidRPr="00BC192C">
          <w:rPr>
            <w:rStyle w:val="Hyperlink"/>
            <w:rFonts w:ascii="Calibri" w:hAnsi="Calibri" w:cs="Calibri"/>
            <w:highlight w:val="yellow"/>
            <w:shd w:val="clear" w:color="auto" w:fill="FFFFFF"/>
          </w:rPr>
          <w:t>https://liiplweb.linkintime.co.in/formsreg/submission-of-form-15g-15h.html</w:t>
        </w:r>
      </w:hyperlink>
      <w:r w:rsidR="00E7472D">
        <w:rPr>
          <w:rFonts w:ascii="Century Gothic" w:eastAsia="Times New Roman" w:hAnsi="Century Gothic" w:cs="Calibri"/>
          <w:color w:val="0000FF"/>
          <w:sz w:val="20"/>
          <w:szCs w:val="20"/>
          <w:u w:val="single"/>
          <w:bdr w:val="none" w:sz="0" w:space="0" w:color="auto" w:frame="1"/>
        </w:rPr>
        <w:t xml:space="preserve"> :</w:t>
      </w:r>
    </w:p>
    <w:p w14:paraId="09451755" w14:textId="77777777" w:rsidR="005D5822" w:rsidRPr="001A5AC1"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1A5AC1">
        <w:rPr>
          <w:rFonts w:ascii="Century Gothic" w:eastAsia="Times New Roman" w:hAnsi="Century Gothic" w:cs="Calibri"/>
          <w:color w:val="000000"/>
          <w:sz w:val="20"/>
          <w:szCs w:val="20"/>
          <w:bdr w:val="none" w:sz="0" w:space="0" w:color="auto" w:frame="1"/>
        </w:rPr>
        <w:t> </w:t>
      </w:r>
    </w:p>
    <w:p w14:paraId="53070F07" w14:textId="1BB1D12D" w:rsidR="00B26CD5" w:rsidRPr="001A5AC1" w:rsidRDefault="005D5822" w:rsidP="005D5822">
      <w:pPr>
        <w:shd w:val="clear" w:color="auto" w:fill="FFFFFF"/>
        <w:spacing w:after="0" w:line="240" w:lineRule="auto"/>
        <w:ind w:left="360" w:hanging="360"/>
        <w:jc w:val="both"/>
        <w:rPr>
          <w:rFonts w:ascii="Century Gothic" w:eastAsia="Times New Roman" w:hAnsi="Century Gothic" w:cs="Segoe UI"/>
          <w:color w:val="FF0000"/>
          <w:sz w:val="20"/>
          <w:szCs w:val="20"/>
        </w:rPr>
      </w:pPr>
      <w:r w:rsidRPr="001A5AC1">
        <w:rPr>
          <w:rFonts w:ascii="Century Gothic" w:eastAsia="Times New Roman" w:hAnsi="Century Gothic" w:cs="Calibri"/>
          <w:b/>
          <w:bCs/>
          <w:color w:val="000000"/>
          <w:sz w:val="20"/>
          <w:szCs w:val="20"/>
          <w:bdr w:val="none" w:sz="0" w:space="0" w:color="auto" w:frame="1"/>
        </w:rPr>
        <w:t>a.</w:t>
      </w:r>
      <w:r w:rsidRPr="001A5AC1">
        <w:rPr>
          <w:rFonts w:ascii="Century Gothic" w:eastAsia="Times New Roman" w:hAnsi="Century Gothic" w:cs="Times New Roman"/>
          <w:b/>
          <w:bCs/>
          <w:color w:val="000000"/>
          <w:sz w:val="20"/>
          <w:szCs w:val="20"/>
          <w:bdr w:val="none" w:sz="0" w:space="0" w:color="auto" w:frame="1"/>
        </w:rPr>
        <w:t>   </w:t>
      </w:r>
      <w:r w:rsidRPr="001A5AC1">
        <w:rPr>
          <w:rFonts w:ascii="Century Gothic" w:eastAsia="Times New Roman" w:hAnsi="Century Gothic" w:cs="Calibri"/>
          <w:color w:val="000000"/>
          <w:sz w:val="20"/>
          <w:szCs w:val="20"/>
          <w:bdr w:val="none" w:sz="0" w:space="0" w:color="auto" w:frame="1"/>
        </w:rPr>
        <w:t xml:space="preserve">Self-attested copy of </w:t>
      </w:r>
      <w:r w:rsidRPr="003E012C">
        <w:rPr>
          <w:rFonts w:ascii="Century Gothic" w:eastAsia="Times New Roman" w:hAnsi="Century Gothic" w:cs="Calibri"/>
          <w:b/>
          <w:bCs/>
          <w:color w:val="000000"/>
          <w:sz w:val="20"/>
          <w:szCs w:val="20"/>
          <w:bdr w:val="none" w:sz="0" w:space="0" w:color="auto" w:frame="1"/>
        </w:rPr>
        <w:t>PAN</w:t>
      </w:r>
      <w:r w:rsidR="00E7472D">
        <w:rPr>
          <w:rFonts w:ascii="Century Gothic" w:eastAsia="Times New Roman" w:hAnsi="Century Gothic" w:cs="Calibri"/>
          <w:color w:val="000000"/>
          <w:sz w:val="20"/>
          <w:szCs w:val="20"/>
          <w:bdr w:val="none" w:sz="0" w:space="0" w:color="auto" w:frame="1"/>
        </w:rPr>
        <w:t>, if</w:t>
      </w:r>
      <w:r w:rsidRPr="001A5AC1">
        <w:rPr>
          <w:rFonts w:ascii="Century Gothic" w:eastAsia="Times New Roman" w:hAnsi="Century Gothic" w:cs="Calibri"/>
          <w:color w:val="201F1E"/>
          <w:sz w:val="20"/>
          <w:szCs w:val="20"/>
          <w:bdr w:val="none" w:sz="0" w:space="0" w:color="auto" w:frame="1"/>
        </w:rPr>
        <w:t> allotted by the Indian income tax authorities</w:t>
      </w:r>
      <w:r w:rsidR="00FD3CDB" w:rsidRPr="001A5AC1">
        <w:rPr>
          <w:rFonts w:ascii="Century Gothic" w:eastAsia="Times New Roman" w:hAnsi="Century Gothic" w:cs="Calibri"/>
          <w:color w:val="201F1E"/>
          <w:sz w:val="20"/>
          <w:szCs w:val="20"/>
          <w:bdr w:val="none" w:sz="0" w:space="0" w:color="auto" w:frame="1"/>
        </w:rPr>
        <w:t xml:space="preserve">. </w:t>
      </w:r>
    </w:p>
    <w:p w14:paraId="687184E7" w14:textId="31CE6504" w:rsidR="00B26CD5" w:rsidRPr="001A5AC1" w:rsidRDefault="005D5822" w:rsidP="005D5822">
      <w:pPr>
        <w:shd w:val="clear" w:color="auto" w:fill="FFFFFF"/>
        <w:spacing w:after="0" w:line="240" w:lineRule="auto"/>
        <w:ind w:left="360" w:hanging="360"/>
        <w:jc w:val="both"/>
        <w:rPr>
          <w:rFonts w:ascii="Century Gothic" w:eastAsia="Times New Roman" w:hAnsi="Century Gothic" w:cs="Segoe UI"/>
          <w:color w:val="201F1E"/>
          <w:sz w:val="20"/>
          <w:szCs w:val="20"/>
        </w:rPr>
      </w:pPr>
      <w:r w:rsidRPr="001A5AC1">
        <w:rPr>
          <w:rFonts w:ascii="Century Gothic" w:eastAsia="Times New Roman" w:hAnsi="Century Gothic" w:cs="Calibri"/>
          <w:b/>
          <w:bCs/>
          <w:color w:val="000000"/>
          <w:sz w:val="20"/>
          <w:szCs w:val="20"/>
          <w:bdr w:val="none" w:sz="0" w:space="0" w:color="auto" w:frame="1"/>
        </w:rPr>
        <w:t>b.</w:t>
      </w:r>
      <w:r w:rsidRPr="001A5AC1">
        <w:rPr>
          <w:rFonts w:ascii="Century Gothic" w:eastAsia="Times New Roman" w:hAnsi="Century Gothic" w:cs="Times New Roman"/>
          <w:b/>
          <w:bCs/>
          <w:color w:val="000000"/>
          <w:sz w:val="20"/>
          <w:szCs w:val="20"/>
          <w:bdr w:val="none" w:sz="0" w:space="0" w:color="auto" w:frame="1"/>
        </w:rPr>
        <w:t>   </w:t>
      </w:r>
      <w:r w:rsidRPr="003E012C">
        <w:rPr>
          <w:rFonts w:ascii="Century Gothic" w:eastAsia="Times New Roman" w:hAnsi="Century Gothic" w:cs="Calibri"/>
          <w:b/>
          <w:bCs/>
          <w:color w:val="000000"/>
          <w:sz w:val="20"/>
          <w:szCs w:val="20"/>
          <w:bdr w:val="none" w:sz="0" w:space="0" w:color="auto" w:frame="1"/>
        </w:rPr>
        <w:t>Tax Residency Certificate (</w:t>
      </w:r>
      <w:r w:rsidR="00CC76E3" w:rsidRPr="003E012C">
        <w:rPr>
          <w:rFonts w:ascii="Century Gothic" w:eastAsia="Times New Roman" w:hAnsi="Century Gothic" w:cs="Calibri"/>
          <w:b/>
          <w:bCs/>
          <w:color w:val="000000"/>
          <w:sz w:val="20"/>
          <w:szCs w:val="20"/>
          <w:bdr w:val="none" w:sz="0" w:space="0" w:color="auto" w:frame="1"/>
        </w:rPr>
        <w:t>‘</w:t>
      </w:r>
      <w:r w:rsidRPr="003E012C">
        <w:rPr>
          <w:rFonts w:ascii="Century Gothic" w:eastAsia="Times New Roman" w:hAnsi="Century Gothic" w:cs="Calibri"/>
          <w:b/>
          <w:bCs/>
          <w:color w:val="000000"/>
          <w:sz w:val="20"/>
          <w:szCs w:val="20"/>
          <w:bdr w:val="none" w:sz="0" w:space="0" w:color="auto" w:frame="1"/>
        </w:rPr>
        <w:t>TRC</w:t>
      </w:r>
      <w:r w:rsidR="00CC76E3" w:rsidRPr="003E012C">
        <w:rPr>
          <w:rFonts w:ascii="Century Gothic" w:eastAsia="Times New Roman" w:hAnsi="Century Gothic" w:cs="Calibri"/>
          <w:b/>
          <w:bCs/>
          <w:color w:val="000000"/>
          <w:sz w:val="20"/>
          <w:szCs w:val="20"/>
          <w:bdr w:val="none" w:sz="0" w:space="0" w:color="auto" w:frame="1"/>
        </w:rPr>
        <w:t>’</w:t>
      </w:r>
      <w:r w:rsidRPr="003E012C">
        <w:rPr>
          <w:rFonts w:ascii="Century Gothic" w:eastAsia="Times New Roman" w:hAnsi="Century Gothic" w:cs="Calibri"/>
          <w:b/>
          <w:bCs/>
          <w:color w:val="000000"/>
          <w:sz w:val="20"/>
          <w:szCs w:val="20"/>
          <w:bdr w:val="none" w:sz="0" w:space="0" w:color="auto" w:frame="1"/>
        </w:rPr>
        <w:t>)</w:t>
      </w:r>
      <w:r w:rsidRPr="001A5AC1">
        <w:rPr>
          <w:rFonts w:ascii="Century Gothic" w:eastAsia="Times New Roman" w:hAnsi="Century Gothic" w:cs="Calibri"/>
          <w:color w:val="000000"/>
          <w:sz w:val="20"/>
          <w:szCs w:val="20"/>
          <w:bdr w:val="none" w:sz="0" w:space="0" w:color="auto" w:frame="1"/>
        </w:rPr>
        <w:t xml:space="preserve"> issued by the tax/competent authority of the country of residency, evidencing and certifying tax residency status in that country during FY</w:t>
      </w:r>
      <w:r w:rsidR="00A925C4" w:rsidRPr="001A5AC1">
        <w:rPr>
          <w:rFonts w:ascii="Century Gothic" w:eastAsia="Times New Roman" w:hAnsi="Century Gothic" w:cs="Calibri"/>
          <w:color w:val="000000"/>
          <w:sz w:val="20"/>
          <w:szCs w:val="20"/>
          <w:bdr w:val="none" w:sz="0" w:space="0" w:color="auto" w:frame="1"/>
        </w:rPr>
        <w:t>202</w:t>
      </w:r>
      <w:r w:rsidR="002A026F">
        <w:rPr>
          <w:rFonts w:ascii="Century Gothic" w:eastAsia="Times New Roman" w:hAnsi="Century Gothic" w:cs="Calibri"/>
          <w:color w:val="000000"/>
          <w:sz w:val="20"/>
          <w:szCs w:val="20"/>
          <w:bdr w:val="none" w:sz="0" w:space="0" w:color="auto" w:frame="1"/>
        </w:rPr>
        <w:t>4</w:t>
      </w:r>
      <w:r w:rsidR="00A925C4" w:rsidRPr="001A5AC1">
        <w:rPr>
          <w:rFonts w:ascii="Century Gothic" w:eastAsia="Times New Roman" w:hAnsi="Century Gothic" w:cs="Calibri"/>
          <w:color w:val="000000"/>
          <w:sz w:val="20"/>
          <w:szCs w:val="20"/>
          <w:bdr w:val="none" w:sz="0" w:space="0" w:color="auto" w:frame="1"/>
        </w:rPr>
        <w:t>-2</w:t>
      </w:r>
      <w:r w:rsidR="002A026F">
        <w:rPr>
          <w:rFonts w:ascii="Century Gothic" w:eastAsia="Times New Roman" w:hAnsi="Century Gothic" w:cs="Calibri"/>
          <w:color w:val="000000"/>
          <w:sz w:val="20"/>
          <w:szCs w:val="20"/>
          <w:bdr w:val="none" w:sz="0" w:space="0" w:color="auto" w:frame="1"/>
        </w:rPr>
        <w:t>5</w:t>
      </w:r>
      <w:r w:rsidR="00540687">
        <w:rPr>
          <w:rFonts w:ascii="Century Gothic" w:eastAsia="Times New Roman" w:hAnsi="Century Gothic" w:cs="Calibri"/>
          <w:color w:val="000000"/>
          <w:sz w:val="20"/>
          <w:szCs w:val="20"/>
          <w:bdr w:val="none" w:sz="0" w:space="0" w:color="auto" w:frame="1"/>
        </w:rPr>
        <w:t xml:space="preserve"> or calendar year 2024</w:t>
      </w:r>
      <w:r w:rsidRPr="001A5AC1">
        <w:rPr>
          <w:rFonts w:ascii="Century Gothic" w:eastAsia="Times New Roman" w:hAnsi="Century Gothic" w:cs="Calibri"/>
          <w:color w:val="000000"/>
          <w:sz w:val="20"/>
          <w:szCs w:val="20"/>
          <w:bdr w:val="none" w:sz="0" w:space="0" w:color="auto" w:frame="1"/>
        </w:rPr>
        <w:t>.</w:t>
      </w:r>
      <w:r w:rsidRPr="001A5AC1">
        <w:rPr>
          <w:rFonts w:ascii="Century Gothic" w:eastAsia="Times New Roman" w:hAnsi="Century Gothic" w:cs="Calibri"/>
          <w:color w:val="222222"/>
          <w:sz w:val="20"/>
          <w:szCs w:val="20"/>
          <w:bdr w:val="none" w:sz="0" w:space="0" w:color="auto" w:frame="1"/>
        </w:rPr>
        <w:t xml:space="preserve"> In case, the TRC is in a language other than English, a duly notarized and apostilled copy thereof, translated in English language would have to be </w:t>
      </w:r>
      <w:proofErr w:type="gramStart"/>
      <w:r w:rsidRPr="001A5AC1">
        <w:rPr>
          <w:rFonts w:ascii="Century Gothic" w:eastAsia="Times New Roman" w:hAnsi="Century Gothic" w:cs="Calibri"/>
          <w:color w:val="222222"/>
          <w:sz w:val="20"/>
          <w:szCs w:val="20"/>
          <w:bdr w:val="none" w:sz="0" w:space="0" w:color="auto" w:frame="1"/>
        </w:rPr>
        <w:t>provided</w:t>
      </w:r>
      <w:r w:rsidRPr="001A5AC1">
        <w:rPr>
          <w:rFonts w:ascii="Century Gothic" w:eastAsia="Times New Roman" w:hAnsi="Century Gothic" w:cs="Calibri"/>
          <w:color w:val="000000"/>
          <w:sz w:val="20"/>
          <w:szCs w:val="20"/>
          <w:bdr w:val="none" w:sz="0" w:space="0" w:color="auto" w:frame="1"/>
        </w:rPr>
        <w:t>;</w:t>
      </w:r>
      <w:proofErr w:type="gramEnd"/>
    </w:p>
    <w:p w14:paraId="7E769593" w14:textId="713D8B62" w:rsidR="00A925C4" w:rsidRPr="00620602" w:rsidRDefault="005D5822" w:rsidP="002A026F">
      <w:pPr>
        <w:shd w:val="clear" w:color="auto" w:fill="FFFFFF"/>
        <w:spacing w:after="0" w:line="240" w:lineRule="auto"/>
        <w:ind w:left="360" w:hanging="360"/>
        <w:jc w:val="both"/>
        <w:rPr>
          <w:rFonts w:ascii="Century Gothic" w:hAnsi="Century Gothic"/>
          <w:sz w:val="18"/>
          <w:szCs w:val="18"/>
        </w:rPr>
      </w:pPr>
      <w:r w:rsidRPr="001A5AC1">
        <w:rPr>
          <w:rFonts w:ascii="Century Gothic" w:eastAsia="Times New Roman" w:hAnsi="Century Gothic" w:cs="Calibri"/>
          <w:b/>
          <w:bCs/>
          <w:color w:val="000000"/>
          <w:sz w:val="20"/>
          <w:szCs w:val="20"/>
          <w:bdr w:val="none" w:sz="0" w:space="0" w:color="auto" w:frame="1"/>
        </w:rPr>
        <w:t>c.</w:t>
      </w:r>
      <w:r w:rsidRPr="001A5AC1">
        <w:rPr>
          <w:rFonts w:ascii="Century Gothic" w:eastAsia="Times New Roman" w:hAnsi="Century Gothic" w:cs="Times New Roman"/>
          <w:b/>
          <w:bCs/>
          <w:color w:val="000000"/>
          <w:sz w:val="20"/>
          <w:szCs w:val="20"/>
          <w:bdr w:val="none" w:sz="0" w:space="0" w:color="auto" w:frame="1"/>
        </w:rPr>
        <w:t>  </w:t>
      </w:r>
      <w:r w:rsidR="00D55420" w:rsidRPr="001A5AC1">
        <w:rPr>
          <w:rFonts w:ascii="Century Gothic" w:eastAsia="Times New Roman" w:hAnsi="Century Gothic" w:cs="Times New Roman"/>
          <w:b/>
          <w:bCs/>
          <w:color w:val="000000"/>
          <w:sz w:val="20"/>
          <w:szCs w:val="20"/>
          <w:bdr w:val="none" w:sz="0" w:space="0" w:color="auto" w:frame="1"/>
        </w:rPr>
        <w:t xml:space="preserve"> </w:t>
      </w:r>
      <w:r w:rsidR="002A026F" w:rsidRPr="00FB1D24">
        <w:rPr>
          <w:rFonts w:ascii="Century Gothic" w:eastAsia="Times New Roman" w:hAnsi="Century Gothic" w:cs="Calibri"/>
          <w:b/>
          <w:bCs/>
          <w:color w:val="000000"/>
          <w:sz w:val="20"/>
          <w:szCs w:val="20"/>
          <w:bdr w:val="none" w:sz="0" w:space="0" w:color="auto" w:frame="1"/>
        </w:rPr>
        <w:t>Electronic Form 10F</w:t>
      </w:r>
      <w:r w:rsidR="002A026F" w:rsidRPr="00FB1D24">
        <w:rPr>
          <w:rFonts w:ascii="Century Gothic" w:eastAsia="Times New Roman" w:hAnsi="Century Gothic" w:cs="Calibri"/>
          <w:color w:val="000000"/>
          <w:sz w:val="20"/>
          <w:szCs w:val="20"/>
          <w:bdr w:val="none" w:sz="0" w:space="0" w:color="auto" w:frame="1"/>
        </w:rPr>
        <w:t xml:space="preserve"> - Required only if details such as Name, Status, Tax Identification Number (TIN), Validity Period of TRC and Address of non-resident are not specifically mentioned on TRC. (In case of USA </w:t>
      </w:r>
      <w:r w:rsidR="002A026F">
        <w:rPr>
          <w:rFonts w:ascii="Century Gothic" w:eastAsia="Times New Roman" w:hAnsi="Century Gothic" w:cs="Calibri"/>
          <w:color w:val="000000"/>
          <w:sz w:val="20"/>
          <w:szCs w:val="20"/>
          <w:bdr w:val="none" w:sz="0" w:space="0" w:color="auto" w:frame="1"/>
        </w:rPr>
        <w:t>resident shareholders,</w:t>
      </w:r>
      <w:r w:rsidR="002A026F" w:rsidRPr="00FB1D24">
        <w:rPr>
          <w:rFonts w:ascii="Century Gothic" w:eastAsia="Times New Roman" w:hAnsi="Century Gothic" w:cs="Calibri"/>
          <w:color w:val="000000"/>
          <w:sz w:val="20"/>
          <w:szCs w:val="20"/>
          <w:bdr w:val="none" w:sz="0" w:space="0" w:color="auto" w:frame="1"/>
        </w:rPr>
        <w:t xml:space="preserve"> if TRC along with cover letter is available then electronic Form 10F is not required). Non-Resident can file Electronic Form 10F on Indian Income Tax website – </w:t>
      </w:r>
      <w:proofErr w:type="gramStart"/>
      <w:r w:rsidR="002A026F" w:rsidRPr="00FB1D24">
        <w:rPr>
          <w:rFonts w:ascii="Century Gothic" w:eastAsia="Times New Roman" w:hAnsi="Century Gothic" w:cs="Calibri"/>
          <w:color w:val="000000"/>
          <w:sz w:val="20"/>
          <w:szCs w:val="20"/>
          <w:bdr w:val="none" w:sz="0" w:space="0" w:color="auto" w:frame="1"/>
        </w:rPr>
        <w:t>www.incometax.gov.in ;</w:t>
      </w:r>
      <w:proofErr w:type="gramEnd"/>
      <w:r w:rsidR="002A026F" w:rsidRPr="00FB1D24">
        <w:rPr>
          <w:rFonts w:ascii="Century Gothic" w:eastAsia="Times New Roman" w:hAnsi="Century Gothic" w:cs="Calibri"/>
          <w:color w:val="000000"/>
          <w:sz w:val="20"/>
          <w:szCs w:val="20"/>
          <w:bdr w:val="none" w:sz="0" w:space="0" w:color="auto" w:frame="1"/>
        </w:rPr>
        <w:t xml:space="preserve"> refer “Steps for filing Electronic Form 10F” in </w:t>
      </w:r>
      <w:r w:rsidR="002A026F" w:rsidRPr="00FB1D24">
        <w:rPr>
          <w:rFonts w:ascii="Century Gothic" w:eastAsia="Times New Roman" w:hAnsi="Century Gothic" w:cs="Calibri"/>
          <w:b/>
          <w:bCs/>
          <w:color w:val="000000"/>
          <w:sz w:val="20"/>
          <w:szCs w:val="20"/>
          <w:bdr w:val="none" w:sz="0" w:space="0" w:color="auto" w:frame="1"/>
        </w:rPr>
        <w:t>Annexure V</w:t>
      </w:r>
      <w:r w:rsidR="002A026F" w:rsidRPr="00FB1D24">
        <w:rPr>
          <w:rFonts w:ascii="Century Gothic" w:eastAsia="Times New Roman" w:hAnsi="Century Gothic" w:cs="Calibri"/>
          <w:color w:val="000000"/>
          <w:sz w:val="20"/>
          <w:szCs w:val="20"/>
          <w:bdr w:val="none" w:sz="0" w:space="0" w:color="auto" w:frame="1"/>
        </w:rPr>
        <w:t>.</w:t>
      </w:r>
    </w:p>
    <w:p w14:paraId="445777C7" w14:textId="13C133F6" w:rsidR="005D5822" w:rsidRPr="001A5AC1" w:rsidRDefault="005D5822" w:rsidP="002A026F">
      <w:pPr>
        <w:pStyle w:val="ListParagraph"/>
        <w:shd w:val="clear" w:color="auto" w:fill="FFFFFF"/>
        <w:spacing w:after="0" w:line="240" w:lineRule="auto"/>
        <w:ind w:left="1080"/>
        <w:jc w:val="both"/>
        <w:rPr>
          <w:rFonts w:ascii="Century Gothic" w:eastAsia="Times New Roman" w:hAnsi="Century Gothic" w:cs="Calibri"/>
          <w:color w:val="000000"/>
          <w:bdr w:val="none" w:sz="0" w:space="0" w:color="auto" w:frame="1"/>
        </w:rPr>
      </w:pPr>
    </w:p>
    <w:p w14:paraId="483383DB" w14:textId="352520E5" w:rsidR="0049418D" w:rsidRPr="0049418D" w:rsidRDefault="005D5822" w:rsidP="003E012C">
      <w:pPr>
        <w:shd w:val="clear" w:color="auto" w:fill="FFFFFF"/>
        <w:spacing w:after="0" w:line="240" w:lineRule="auto"/>
        <w:ind w:left="360" w:hanging="360"/>
        <w:jc w:val="both"/>
        <w:rPr>
          <w:rFonts w:ascii="Century Gothic" w:eastAsia="Times New Roman" w:hAnsi="Century Gothic" w:cs="Calibri"/>
          <w:color w:val="323130"/>
          <w:sz w:val="20"/>
          <w:szCs w:val="20"/>
          <w:bdr w:val="none" w:sz="0" w:space="0" w:color="auto" w:frame="1"/>
          <w:lang w:val="en-IN"/>
        </w:rPr>
      </w:pPr>
      <w:r w:rsidRPr="00620602">
        <w:rPr>
          <w:rFonts w:ascii="Century Gothic" w:eastAsia="Times New Roman" w:hAnsi="Century Gothic" w:cs="Calibri"/>
          <w:b/>
          <w:bCs/>
          <w:color w:val="000000"/>
          <w:sz w:val="20"/>
          <w:szCs w:val="20"/>
          <w:bdr w:val="none" w:sz="0" w:space="0" w:color="auto" w:frame="1"/>
        </w:rPr>
        <w:t>d.</w:t>
      </w:r>
      <w:r w:rsidRPr="00620602">
        <w:rPr>
          <w:rFonts w:ascii="Century Gothic" w:eastAsia="Times New Roman" w:hAnsi="Century Gothic" w:cs="Times New Roman"/>
          <w:b/>
          <w:bCs/>
          <w:color w:val="000000"/>
          <w:sz w:val="20"/>
          <w:szCs w:val="20"/>
          <w:bdr w:val="none" w:sz="0" w:space="0" w:color="auto" w:frame="1"/>
        </w:rPr>
        <w:t>   </w:t>
      </w:r>
      <w:r w:rsidR="00834DD6" w:rsidRPr="00620602">
        <w:rPr>
          <w:rFonts w:ascii="Century Gothic" w:eastAsia="Times New Roman" w:hAnsi="Century Gothic" w:cs="Calibri"/>
          <w:color w:val="000000"/>
          <w:sz w:val="20"/>
          <w:szCs w:val="20"/>
          <w:bdr w:val="none" w:sz="0" w:space="0" w:color="auto" w:frame="1"/>
        </w:rPr>
        <w:t>Self-declaration</w:t>
      </w:r>
      <w:r w:rsidR="00EF6F2F">
        <w:rPr>
          <w:rFonts w:ascii="Century Gothic" w:eastAsia="Times New Roman" w:hAnsi="Century Gothic" w:cs="Calibri"/>
          <w:color w:val="000000"/>
          <w:sz w:val="20"/>
          <w:szCs w:val="20"/>
          <w:bdr w:val="none" w:sz="0" w:space="0" w:color="auto" w:frame="1"/>
        </w:rPr>
        <w:t xml:space="preserve"> </w:t>
      </w:r>
      <w:r w:rsidR="00EF6F2F" w:rsidRPr="00FB1D24">
        <w:rPr>
          <w:rFonts w:ascii="Century Gothic" w:hAnsi="Century Gothic"/>
          <w:sz w:val="20"/>
          <w:szCs w:val="20"/>
        </w:rPr>
        <w:t xml:space="preserve">confirming </w:t>
      </w:r>
      <w:r w:rsidR="00EF6F2F" w:rsidRPr="00FB1D24">
        <w:rPr>
          <w:rFonts w:ascii="Century Gothic" w:hAnsi="Century Gothic"/>
          <w:b/>
          <w:bCs/>
          <w:sz w:val="20"/>
          <w:szCs w:val="20"/>
        </w:rPr>
        <w:t>not having a Permanent Establishment in India and eligibility to Tax Treaty</w:t>
      </w:r>
      <w:r w:rsidR="00EF6F2F" w:rsidRPr="00FB1D24">
        <w:rPr>
          <w:rFonts w:ascii="Century Gothic" w:hAnsi="Century Gothic"/>
          <w:sz w:val="20"/>
          <w:szCs w:val="20"/>
        </w:rPr>
        <w:t xml:space="preserve"> </w:t>
      </w:r>
      <w:r w:rsidR="00EF6F2F" w:rsidRPr="00FB1D24">
        <w:rPr>
          <w:rFonts w:ascii="Century Gothic" w:hAnsi="Century Gothic"/>
          <w:b/>
          <w:bCs/>
          <w:sz w:val="20"/>
          <w:szCs w:val="20"/>
        </w:rPr>
        <w:t>benefit</w:t>
      </w:r>
      <w:r w:rsidR="00EF6F2F" w:rsidRPr="00FB1D24">
        <w:rPr>
          <w:rFonts w:ascii="Century Gothic" w:hAnsi="Century Gothic"/>
          <w:sz w:val="20"/>
          <w:szCs w:val="20"/>
        </w:rPr>
        <w:t xml:space="preserve"> </w:t>
      </w:r>
      <w:r w:rsidR="00E610CD">
        <w:rPr>
          <w:rFonts w:ascii="Century Gothic" w:hAnsi="Century Gothic"/>
          <w:sz w:val="20"/>
          <w:szCs w:val="20"/>
        </w:rPr>
        <w:t>for</w:t>
      </w:r>
      <w:r w:rsidR="00C82366">
        <w:rPr>
          <w:rFonts w:ascii="Century Gothic" w:hAnsi="Century Gothic"/>
          <w:sz w:val="20"/>
          <w:szCs w:val="20"/>
        </w:rPr>
        <w:t xml:space="preserve"> </w:t>
      </w:r>
      <w:r w:rsidR="00285A8F">
        <w:rPr>
          <w:rFonts w:ascii="Century Gothic" w:hAnsi="Century Gothic"/>
          <w:sz w:val="20"/>
          <w:szCs w:val="20"/>
        </w:rPr>
        <w:t>FY 2024-25 or</w:t>
      </w:r>
      <w:r w:rsidR="00E610CD">
        <w:rPr>
          <w:rFonts w:ascii="Century Gothic" w:hAnsi="Century Gothic"/>
          <w:sz w:val="20"/>
          <w:szCs w:val="20"/>
        </w:rPr>
        <w:t xml:space="preserve"> </w:t>
      </w:r>
      <w:r w:rsidR="00EF6F2F" w:rsidRPr="00FB1D24">
        <w:rPr>
          <w:rFonts w:ascii="Century Gothic" w:hAnsi="Century Gothic"/>
          <w:sz w:val="20"/>
          <w:szCs w:val="20"/>
        </w:rPr>
        <w:t>calendar year 2024</w:t>
      </w:r>
      <w:r w:rsidR="00434441">
        <w:rPr>
          <w:rFonts w:ascii="Century Gothic" w:hAnsi="Century Gothic"/>
          <w:sz w:val="20"/>
          <w:szCs w:val="20"/>
        </w:rPr>
        <w:t>.</w:t>
      </w:r>
      <w:r w:rsidR="007C3AE6">
        <w:rPr>
          <w:rFonts w:ascii="Century Gothic" w:hAnsi="Century Gothic"/>
          <w:sz w:val="20"/>
          <w:szCs w:val="20"/>
        </w:rPr>
        <w:t xml:space="preserve"> </w:t>
      </w:r>
      <w:r w:rsidR="00834DD6" w:rsidRPr="00620602">
        <w:rPr>
          <w:rFonts w:ascii="Century Gothic" w:eastAsia="Times New Roman" w:hAnsi="Century Gothic" w:cs="Calibri"/>
          <w:color w:val="000000"/>
          <w:sz w:val="20"/>
          <w:szCs w:val="20"/>
          <w:bdr w:val="none" w:sz="0" w:space="0" w:color="auto" w:frame="1"/>
        </w:rPr>
        <w:t xml:space="preserve">Link </w:t>
      </w:r>
      <w:r w:rsidR="00FB32E2">
        <w:rPr>
          <w:rFonts w:ascii="Century Gothic" w:eastAsia="Times New Roman" w:hAnsi="Century Gothic" w:cs="Calibri"/>
          <w:color w:val="000000"/>
          <w:sz w:val="20"/>
          <w:szCs w:val="20"/>
          <w:bdr w:val="none" w:sz="0" w:space="0" w:color="auto" w:frame="1"/>
        </w:rPr>
        <w:t xml:space="preserve">of the declaration </w:t>
      </w:r>
      <w:r w:rsidR="00834DD6" w:rsidRPr="00620602">
        <w:rPr>
          <w:rFonts w:ascii="Century Gothic" w:eastAsia="Times New Roman" w:hAnsi="Century Gothic" w:cs="Calibri"/>
          <w:color w:val="000000"/>
          <w:sz w:val="20"/>
          <w:szCs w:val="20"/>
          <w:bdr w:val="none" w:sz="0" w:space="0" w:color="auto" w:frame="1"/>
        </w:rPr>
        <w:t xml:space="preserve">is given at the end of this communication as </w:t>
      </w:r>
      <w:r w:rsidR="00834DD6" w:rsidRPr="00620602">
        <w:rPr>
          <w:rFonts w:ascii="Century Gothic" w:eastAsia="Times New Roman" w:hAnsi="Century Gothic" w:cs="Calibri"/>
          <w:b/>
          <w:bCs/>
          <w:color w:val="000000"/>
          <w:sz w:val="20"/>
          <w:szCs w:val="20"/>
          <w:bdr w:val="none" w:sz="0" w:space="0" w:color="auto" w:frame="1"/>
        </w:rPr>
        <w:t>Annexure V</w:t>
      </w:r>
      <w:r w:rsidR="00BB6C18">
        <w:rPr>
          <w:rFonts w:ascii="Century Gothic" w:eastAsia="Times New Roman" w:hAnsi="Century Gothic" w:cs="Calibri"/>
          <w:b/>
          <w:bCs/>
          <w:color w:val="000000"/>
          <w:sz w:val="20"/>
          <w:szCs w:val="20"/>
          <w:bdr w:val="none" w:sz="0" w:space="0" w:color="auto" w:frame="1"/>
        </w:rPr>
        <w:t>I</w:t>
      </w:r>
      <w:r w:rsidR="005D2190">
        <w:rPr>
          <w:rFonts w:ascii="Century Gothic" w:eastAsia="Times New Roman" w:hAnsi="Century Gothic" w:cs="Calibri"/>
          <w:b/>
          <w:bCs/>
          <w:color w:val="000000"/>
          <w:sz w:val="20"/>
          <w:szCs w:val="20"/>
          <w:bdr w:val="none" w:sz="0" w:space="0" w:color="auto" w:frame="1"/>
        </w:rPr>
        <w:t>.</w:t>
      </w:r>
      <w:r w:rsidR="00834DD6" w:rsidRPr="00620602">
        <w:rPr>
          <w:rFonts w:ascii="Century Gothic" w:eastAsia="Times New Roman" w:hAnsi="Century Gothic" w:cs="Calibri"/>
          <w:color w:val="000000"/>
          <w:sz w:val="20"/>
          <w:szCs w:val="20"/>
          <w:bdr w:val="none" w:sz="0" w:space="0" w:color="auto" w:frame="1"/>
        </w:rPr>
        <w:t xml:space="preserve"> </w:t>
      </w:r>
    </w:p>
    <w:p w14:paraId="7B564D8F" w14:textId="77777777" w:rsidR="0049418D" w:rsidRDefault="0049418D" w:rsidP="0049418D">
      <w:pPr>
        <w:shd w:val="clear" w:color="auto" w:fill="FFFFFF"/>
        <w:spacing w:after="0" w:line="240" w:lineRule="auto"/>
        <w:jc w:val="both"/>
        <w:rPr>
          <w:rFonts w:ascii="Century Gothic" w:eastAsia="Times New Roman" w:hAnsi="Century Gothic" w:cs="Calibri"/>
          <w:color w:val="323130"/>
          <w:sz w:val="20"/>
          <w:szCs w:val="20"/>
          <w:bdr w:val="none" w:sz="0" w:space="0" w:color="auto" w:frame="1"/>
          <w:lang w:val="en-IN"/>
        </w:rPr>
      </w:pPr>
    </w:p>
    <w:p w14:paraId="15F65EB0" w14:textId="279B3BAA" w:rsidR="004F15D1" w:rsidRPr="0049418D" w:rsidRDefault="004F15D1" w:rsidP="0049418D">
      <w:pPr>
        <w:shd w:val="clear" w:color="auto" w:fill="FFFFFF"/>
        <w:spacing w:after="0" w:line="240" w:lineRule="auto"/>
        <w:jc w:val="both"/>
        <w:rPr>
          <w:rFonts w:ascii="Century Gothic" w:eastAsia="Times New Roman" w:hAnsi="Century Gothic" w:cs="Calibri"/>
          <w:color w:val="323130"/>
          <w:sz w:val="20"/>
          <w:szCs w:val="20"/>
          <w:bdr w:val="none" w:sz="0" w:space="0" w:color="auto" w:frame="1"/>
          <w:lang w:val="en-IN"/>
        </w:rPr>
      </w:pPr>
      <w:r w:rsidRPr="00FB1D24">
        <w:rPr>
          <w:rFonts w:ascii="Century Gothic" w:hAnsi="Century Gothic"/>
          <w:sz w:val="20"/>
          <w:szCs w:val="20"/>
        </w:rPr>
        <w:t>Application of Tax Treaty rate shall depend upon the completeness of the documents submitted by the non-resident shareholder and are in accordance with the provisions of the Act.</w:t>
      </w:r>
    </w:p>
    <w:p w14:paraId="38EA6175" w14:textId="39DE4AB5" w:rsidR="0049418D" w:rsidRPr="0049418D" w:rsidRDefault="0049418D" w:rsidP="0049418D">
      <w:pPr>
        <w:shd w:val="clear" w:color="auto" w:fill="FFFFFF"/>
        <w:spacing w:after="0" w:line="240" w:lineRule="auto"/>
        <w:jc w:val="both"/>
        <w:rPr>
          <w:rFonts w:ascii="Century Gothic" w:eastAsia="Times New Roman" w:hAnsi="Century Gothic" w:cs="Calibri"/>
          <w:color w:val="323130"/>
          <w:sz w:val="20"/>
          <w:szCs w:val="20"/>
          <w:bdr w:val="none" w:sz="0" w:space="0" w:color="auto" w:frame="1"/>
          <w:lang w:val="en-IN"/>
        </w:rPr>
      </w:pPr>
      <w:r w:rsidRPr="0049418D">
        <w:rPr>
          <w:rFonts w:ascii="Century Gothic" w:eastAsia="Times New Roman" w:hAnsi="Century Gothic" w:cs="Calibri"/>
          <w:color w:val="323130"/>
          <w:sz w:val="20"/>
          <w:szCs w:val="20"/>
          <w:bdr w:val="none" w:sz="0" w:space="0" w:color="auto" w:frame="1"/>
          <w:lang w:val="en-IN"/>
        </w:rPr>
        <w:lastRenderedPageBreak/>
        <w:t xml:space="preserve">Where a </w:t>
      </w:r>
      <w:r w:rsidR="009B7913" w:rsidRPr="0049418D">
        <w:rPr>
          <w:rFonts w:ascii="Century Gothic" w:eastAsia="Times New Roman" w:hAnsi="Century Gothic" w:cs="Calibri"/>
          <w:color w:val="323130"/>
          <w:sz w:val="20"/>
          <w:szCs w:val="20"/>
          <w:bdr w:val="none" w:sz="0" w:space="0" w:color="auto" w:frame="1"/>
          <w:lang w:val="en-IN"/>
        </w:rPr>
        <w:t>shareholder furnishes</w:t>
      </w:r>
      <w:r w:rsidRPr="0049418D">
        <w:rPr>
          <w:rFonts w:ascii="Century Gothic" w:eastAsia="Times New Roman" w:hAnsi="Century Gothic" w:cs="Calibri"/>
          <w:color w:val="323130"/>
          <w:sz w:val="20"/>
          <w:szCs w:val="20"/>
          <w:bdr w:val="none" w:sz="0" w:space="0" w:color="auto" w:frame="1"/>
          <w:lang w:val="en-IN"/>
        </w:rPr>
        <w:t xml:space="preserve"> </w:t>
      </w:r>
      <w:r w:rsidR="00F960EE">
        <w:rPr>
          <w:rFonts w:ascii="Century Gothic" w:eastAsia="Times New Roman" w:hAnsi="Century Gothic" w:cs="Calibri"/>
          <w:color w:val="323130"/>
          <w:sz w:val="20"/>
          <w:szCs w:val="20"/>
          <w:bdr w:val="none" w:sz="0" w:space="0" w:color="auto" w:frame="1"/>
          <w:lang w:val="en-IN"/>
        </w:rPr>
        <w:t xml:space="preserve">a </w:t>
      </w:r>
      <w:r w:rsidRPr="0049418D">
        <w:rPr>
          <w:rFonts w:ascii="Century Gothic" w:eastAsia="Times New Roman" w:hAnsi="Century Gothic" w:cs="Calibri"/>
          <w:color w:val="323130"/>
          <w:sz w:val="20"/>
          <w:szCs w:val="20"/>
          <w:bdr w:val="none" w:sz="0" w:space="0" w:color="auto" w:frame="1"/>
          <w:lang w:val="en-IN"/>
        </w:rPr>
        <w:t xml:space="preserve">valid lower/nil withholding tax certificate </w:t>
      </w:r>
      <w:r w:rsidR="00AC0A20">
        <w:rPr>
          <w:rFonts w:ascii="Century Gothic" w:eastAsia="Times New Roman" w:hAnsi="Century Gothic" w:cs="Calibri"/>
          <w:color w:val="323130"/>
          <w:sz w:val="20"/>
          <w:szCs w:val="20"/>
          <w:bdr w:val="none" w:sz="0" w:space="0" w:color="auto" w:frame="1"/>
          <w:lang w:val="en-IN"/>
        </w:rPr>
        <w:t xml:space="preserve">obtained </w:t>
      </w:r>
      <w:r w:rsidRPr="0049418D">
        <w:rPr>
          <w:rFonts w:ascii="Century Gothic" w:eastAsia="Times New Roman" w:hAnsi="Century Gothic" w:cs="Calibri"/>
          <w:color w:val="323130"/>
          <w:sz w:val="20"/>
          <w:szCs w:val="20"/>
          <w:bdr w:val="none" w:sz="0" w:space="0" w:color="auto" w:frame="1"/>
          <w:lang w:val="en-IN"/>
        </w:rPr>
        <w:t>under Section197 of the Act,</w:t>
      </w:r>
      <w:r w:rsidR="00AC0A20">
        <w:rPr>
          <w:rFonts w:ascii="Century Gothic" w:eastAsia="Times New Roman" w:hAnsi="Century Gothic" w:cs="Calibri"/>
          <w:color w:val="323130"/>
          <w:sz w:val="20"/>
          <w:szCs w:val="20"/>
          <w:bdr w:val="none" w:sz="0" w:space="0" w:color="auto" w:frame="1"/>
          <w:lang w:val="en-IN"/>
        </w:rPr>
        <w:t xml:space="preserve"> from the Income Tax authorities</w:t>
      </w:r>
      <w:r w:rsidR="00746753">
        <w:rPr>
          <w:rFonts w:ascii="Century Gothic" w:eastAsia="Times New Roman" w:hAnsi="Century Gothic" w:cs="Calibri"/>
          <w:color w:val="323130"/>
          <w:sz w:val="20"/>
          <w:szCs w:val="20"/>
          <w:bdr w:val="none" w:sz="0" w:space="0" w:color="auto" w:frame="1"/>
          <w:lang w:val="en-IN"/>
        </w:rPr>
        <w:t xml:space="preserve">, </w:t>
      </w:r>
      <w:r w:rsidRPr="0049418D">
        <w:rPr>
          <w:rFonts w:ascii="Century Gothic" w:eastAsia="Times New Roman" w:hAnsi="Century Gothic" w:cs="Calibri"/>
          <w:color w:val="323130"/>
          <w:sz w:val="20"/>
          <w:szCs w:val="20"/>
          <w:bdr w:val="none" w:sz="0" w:space="0" w:color="auto" w:frame="1"/>
          <w:lang w:val="en-IN"/>
        </w:rPr>
        <w:t>withholding tax will be applied as per the rate prescribed in such certificate.</w:t>
      </w:r>
    </w:p>
    <w:p w14:paraId="12A99EBF" w14:textId="77777777" w:rsidR="0049418D" w:rsidRPr="0049418D" w:rsidRDefault="0049418D" w:rsidP="0049418D">
      <w:pPr>
        <w:shd w:val="clear" w:color="auto" w:fill="FFFFFF"/>
        <w:spacing w:after="0" w:line="240" w:lineRule="auto"/>
        <w:jc w:val="both"/>
        <w:rPr>
          <w:rFonts w:ascii="Century Gothic" w:eastAsia="Times New Roman" w:hAnsi="Century Gothic" w:cs="Calibri"/>
          <w:color w:val="323130"/>
          <w:sz w:val="20"/>
          <w:szCs w:val="20"/>
          <w:bdr w:val="none" w:sz="0" w:space="0" w:color="auto" w:frame="1"/>
          <w:lang w:val="en-IN"/>
        </w:rPr>
      </w:pPr>
    </w:p>
    <w:p w14:paraId="14506744" w14:textId="77777777" w:rsidR="005D5822" w:rsidRPr="00620602" w:rsidRDefault="005D5822" w:rsidP="005D5822">
      <w:pPr>
        <w:shd w:val="clear" w:color="auto" w:fill="FFFFFF"/>
        <w:spacing w:after="0" w:line="240" w:lineRule="auto"/>
        <w:rPr>
          <w:rFonts w:ascii="Century Gothic" w:eastAsia="Times New Roman" w:hAnsi="Century Gothic" w:cs="Segoe UI"/>
          <w:color w:val="201F1E"/>
          <w:sz w:val="20"/>
          <w:szCs w:val="20"/>
        </w:rPr>
      </w:pPr>
      <w:r w:rsidRPr="00620602">
        <w:rPr>
          <w:rFonts w:ascii="Century Gothic" w:eastAsia="Times New Roman" w:hAnsi="Century Gothic" w:cs="Calibri"/>
          <w:color w:val="222222"/>
          <w:sz w:val="20"/>
          <w:szCs w:val="20"/>
          <w:bdr w:val="none" w:sz="0" w:space="0" w:color="auto" w:frame="1"/>
        </w:rPr>
        <w:t> </w:t>
      </w:r>
    </w:p>
    <w:p w14:paraId="6B964570" w14:textId="3F98B3C3" w:rsidR="005D5822" w:rsidRDefault="005D5822" w:rsidP="0038604F">
      <w:pPr>
        <w:pStyle w:val="ListParagraph"/>
        <w:numPr>
          <w:ilvl w:val="0"/>
          <w:numId w:val="8"/>
        </w:numPr>
        <w:shd w:val="clear" w:color="auto" w:fill="FFFFFF"/>
        <w:spacing w:after="0" w:line="240" w:lineRule="auto"/>
        <w:ind w:left="360"/>
        <w:jc w:val="both"/>
        <w:rPr>
          <w:rFonts w:ascii="Century Gothic" w:eastAsia="Times New Roman" w:hAnsi="Century Gothic" w:cs="Calibri"/>
          <w:b/>
          <w:bCs/>
          <w:color w:val="201F1E"/>
          <w:sz w:val="20"/>
          <w:szCs w:val="20"/>
          <w:bdr w:val="none" w:sz="0" w:space="0" w:color="auto" w:frame="1"/>
        </w:rPr>
      </w:pPr>
      <w:r w:rsidRPr="0038604F">
        <w:rPr>
          <w:rFonts w:ascii="Century Gothic" w:eastAsia="Times New Roman" w:hAnsi="Century Gothic" w:cs="Calibri"/>
          <w:b/>
          <w:bCs/>
          <w:color w:val="000000"/>
          <w:bdr w:val="none" w:sz="0" w:space="0" w:color="auto" w:frame="1"/>
        </w:rPr>
        <w:t>For</w:t>
      </w:r>
      <w:r w:rsidRPr="00620602">
        <w:rPr>
          <w:rFonts w:ascii="Century Gothic" w:eastAsia="Times New Roman" w:hAnsi="Century Gothic" w:cs="Calibri"/>
          <w:b/>
          <w:bCs/>
          <w:color w:val="201F1E"/>
          <w:sz w:val="20"/>
          <w:szCs w:val="20"/>
          <w:bdr w:val="none" w:sz="0" w:space="0" w:color="auto" w:frame="1"/>
        </w:rPr>
        <w:t xml:space="preserve"> all Shareholders:</w:t>
      </w:r>
    </w:p>
    <w:p w14:paraId="6035248B" w14:textId="77777777" w:rsidR="00745CB2" w:rsidRPr="00620602" w:rsidRDefault="00745CB2" w:rsidP="005D5822">
      <w:pPr>
        <w:shd w:val="clear" w:color="auto" w:fill="FFFFFF"/>
        <w:spacing w:after="0" w:line="240" w:lineRule="auto"/>
        <w:rPr>
          <w:rFonts w:ascii="Century Gothic" w:eastAsia="Times New Roman" w:hAnsi="Century Gothic" w:cs="Segoe UI"/>
          <w:color w:val="201F1E"/>
          <w:sz w:val="20"/>
          <w:szCs w:val="20"/>
        </w:rPr>
      </w:pPr>
    </w:p>
    <w:p w14:paraId="40DDE835" w14:textId="2C6D4A93"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Shareholders holding shares under multiple accounts under different status/category and single PAN, are requested to note that higher of the tax rate as applicable to the status</w:t>
      </w:r>
      <w:r w:rsidR="00E7472D">
        <w:rPr>
          <w:rFonts w:ascii="Century Gothic" w:eastAsia="Times New Roman" w:hAnsi="Century Gothic" w:cs="Calibri"/>
          <w:color w:val="201F1E"/>
          <w:sz w:val="20"/>
          <w:szCs w:val="20"/>
          <w:bdr w:val="none" w:sz="0" w:space="0" w:color="auto" w:frame="1"/>
        </w:rPr>
        <w:t>/category</w:t>
      </w:r>
      <w:r w:rsidRPr="00620602">
        <w:rPr>
          <w:rFonts w:ascii="Century Gothic" w:eastAsia="Times New Roman" w:hAnsi="Century Gothic" w:cs="Calibri"/>
          <w:color w:val="201F1E"/>
          <w:sz w:val="20"/>
          <w:szCs w:val="20"/>
          <w:bdr w:val="none" w:sz="0" w:space="0" w:color="auto" w:frame="1"/>
        </w:rPr>
        <w:t xml:space="preserve"> in which shares</w:t>
      </w:r>
      <w:r w:rsidR="00E7472D">
        <w:rPr>
          <w:rFonts w:ascii="Century Gothic" w:eastAsia="Times New Roman" w:hAnsi="Century Gothic" w:cs="Calibri"/>
          <w:color w:val="201F1E"/>
          <w:sz w:val="20"/>
          <w:szCs w:val="20"/>
          <w:bdr w:val="none" w:sz="0" w:space="0" w:color="auto" w:frame="1"/>
        </w:rPr>
        <w:t xml:space="preserve"> are</w:t>
      </w:r>
      <w:r w:rsidRPr="00620602">
        <w:rPr>
          <w:rFonts w:ascii="Century Gothic" w:eastAsia="Times New Roman" w:hAnsi="Century Gothic" w:cs="Calibri"/>
          <w:color w:val="201F1E"/>
          <w:sz w:val="20"/>
          <w:szCs w:val="20"/>
          <w:bdr w:val="none" w:sz="0" w:space="0" w:color="auto" w:frame="1"/>
        </w:rPr>
        <w:t xml:space="preserve"> held under a PAN</w:t>
      </w:r>
      <w:r w:rsidR="00E7472D">
        <w:rPr>
          <w:rFonts w:ascii="Century Gothic" w:eastAsia="Times New Roman" w:hAnsi="Century Gothic" w:cs="Calibri"/>
          <w:color w:val="201F1E"/>
          <w:sz w:val="20"/>
          <w:szCs w:val="20"/>
          <w:bdr w:val="none" w:sz="0" w:space="0" w:color="auto" w:frame="1"/>
        </w:rPr>
        <w:t>,</w:t>
      </w:r>
      <w:r w:rsidRPr="00620602">
        <w:rPr>
          <w:rFonts w:ascii="Century Gothic" w:eastAsia="Times New Roman" w:hAnsi="Century Gothic" w:cs="Calibri"/>
          <w:color w:val="201F1E"/>
          <w:sz w:val="20"/>
          <w:szCs w:val="20"/>
          <w:bdr w:val="none" w:sz="0" w:space="0" w:color="auto" w:frame="1"/>
        </w:rPr>
        <w:t xml:space="preserve"> will be considered on their entire holding in different accounts.</w:t>
      </w:r>
    </w:p>
    <w:p w14:paraId="1C21FD37"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5EFBF727" w14:textId="1921B587" w:rsidR="005D5822" w:rsidRPr="00620602" w:rsidRDefault="005619EF" w:rsidP="00BC192C">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O</w:t>
      </w:r>
      <w:r w:rsidR="005D5822" w:rsidRPr="00620602">
        <w:rPr>
          <w:rFonts w:ascii="Century Gothic" w:eastAsia="Times New Roman" w:hAnsi="Century Gothic" w:cs="Calibri"/>
          <w:color w:val="201F1E"/>
          <w:sz w:val="20"/>
          <w:szCs w:val="20"/>
          <w:bdr w:val="none" w:sz="0" w:space="0" w:color="auto" w:frame="1"/>
        </w:rPr>
        <w:t xml:space="preserve">nly scanned </w:t>
      </w:r>
      <w:r w:rsidR="00FC0297">
        <w:rPr>
          <w:rFonts w:ascii="Century Gothic" w:eastAsia="Times New Roman" w:hAnsi="Century Gothic" w:cs="Calibri"/>
          <w:color w:val="201F1E"/>
          <w:sz w:val="20"/>
          <w:szCs w:val="20"/>
          <w:bdr w:val="none" w:sz="0" w:space="0" w:color="auto" w:frame="1"/>
        </w:rPr>
        <w:t xml:space="preserve">legible </w:t>
      </w:r>
      <w:r w:rsidR="005D5822" w:rsidRPr="00620602">
        <w:rPr>
          <w:rFonts w:ascii="Century Gothic" w:eastAsia="Times New Roman" w:hAnsi="Century Gothic" w:cs="Calibri"/>
          <w:color w:val="201F1E"/>
          <w:sz w:val="20"/>
          <w:szCs w:val="20"/>
          <w:bdr w:val="none" w:sz="0" w:space="0" w:color="auto" w:frame="1"/>
        </w:rPr>
        <w:t xml:space="preserve">copies of the aforementioned documents will be accepted by the Company as per the procedure laid down. </w:t>
      </w:r>
      <w:r w:rsidR="0086115E" w:rsidRPr="00620602">
        <w:rPr>
          <w:rFonts w:ascii="Century Gothic" w:eastAsia="Times New Roman" w:hAnsi="Century Gothic" w:cs="Calibri"/>
          <w:color w:val="201F1E"/>
          <w:sz w:val="20"/>
          <w:szCs w:val="20"/>
          <w:bdr w:val="none" w:sz="0" w:space="0" w:color="auto" w:frame="1"/>
        </w:rPr>
        <w:t>D</w:t>
      </w:r>
      <w:r w:rsidR="005D5822" w:rsidRPr="00620602">
        <w:rPr>
          <w:rFonts w:ascii="Century Gothic" w:eastAsia="Times New Roman" w:hAnsi="Century Gothic" w:cs="Calibri"/>
          <w:color w:val="201F1E"/>
          <w:sz w:val="20"/>
          <w:szCs w:val="20"/>
          <w:bdr w:val="none" w:sz="0" w:space="0" w:color="auto" w:frame="1"/>
        </w:rPr>
        <w:t>uly completed and signed documents are required to be submitted to </w:t>
      </w:r>
      <w:r w:rsidR="00495AC7">
        <w:rPr>
          <w:rFonts w:ascii="Century Gothic" w:eastAsia="Times New Roman" w:hAnsi="Century Gothic" w:cs="Calibri"/>
          <w:color w:val="201F1E"/>
          <w:sz w:val="20"/>
          <w:szCs w:val="20"/>
          <w:bdr w:val="none" w:sz="0" w:space="0" w:color="auto" w:frame="1"/>
        </w:rPr>
        <w:t xml:space="preserve">Link Intime </w:t>
      </w:r>
      <w:r w:rsidR="005D5822" w:rsidRPr="00620602">
        <w:rPr>
          <w:rFonts w:ascii="Century Gothic" w:eastAsia="Times New Roman" w:hAnsi="Century Gothic" w:cs="Calibri"/>
          <w:color w:val="201F1E"/>
          <w:sz w:val="20"/>
          <w:szCs w:val="20"/>
          <w:bdr w:val="none" w:sz="0" w:space="0" w:color="auto" w:frame="1"/>
        </w:rPr>
        <w:t>by</w:t>
      </w:r>
      <w:r w:rsidR="00915FA2" w:rsidRPr="00620602">
        <w:rPr>
          <w:rFonts w:ascii="Century Gothic" w:eastAsia="Times New Roman" w:hAnsi="Century Gothic" w:cs="Calibri"/>
          <w:color w:val="201F1E"/>
          <w:sz w:val="20"/>
          <w:szCs w:val="20"/>
          <w:bdr w:val="none" w:sz="0" w:space="0" w:color="auto" w:frame="1"/>
        </w:rPr>
        <w:t xml:space="preserve"> </w:t>
      </w:r>
      <w:r w:rsidR="005D5822" w:rsidRPr="00620602">
        <w:rPr>
          <w:rFonts w:ascii="Century Gothic" w:eastAsia="Times New Roman" w:hAnsi="Century Gothic" w:cs="Calibri"/>
          <w:color w:val="201F1E"/>
          <w:sz w:val="20"/>
          <w:szCs w:val="20"/>
          <w:bdr w:val="none" w:sz="0" w:space="0" w:color="auto" w:frame="1"/>
        </w:rPr>
        <w:t>uploading the documents</w:t>
      </w:r>
      <w:r w:rsidR="00915FA2" w:rsidRPr="00620602">
        <w:rPr>
          <w:rFonts w:ascii="Century Gothic" w:eastAsia="Times New Roman" w:hAnsi="Century Gothic" w:cs="Calibri"/>
          <w:color w:val="201F1E"/>
          <w:sz w:val="20"/>
          <w:szCs w:val="20"/>
          <w:bdr w:val="none" w:sz="0" w:space="0" w:color="auto" w:frame="1"/>
        </w:rPr>
        <w:t xml:space="preserve"> </w:t>
      </w:r>
      <w:r w:rsidR="005D5822" w:rsidRPr="00620602">
        <w:rPr>
          <w:rFonts w:ascii="Century Gothic" w:eastAsia="Times New Roman" w:hAnsi="Century Gothic" w:cs="Calibri"/>
          <w:color w:val="201F1E"/>
          <w:sz w:val="20"/>
          <w:szCs w:val="20"/>
          <w:bdr w:val="none" w:sz="0" w:space="0" w:color="auto" w:frame="1"/>
        </w:rPr>
        <w:t>on</w:t>
      </w:r>
      <w:r w:rsidR="008B4B28" w:rsidRPr="00620602">
        <w:rPr>
          <w:rFonts w:ascii="Century Gothic" w:eastAsia="Times New Roman" w:hAnsi="Century Gothic" w:cs="Calibri"/>
          <w:color w:val="201F1E"/>
          <w:sz w:val="20"/>
          <w:szCs w:val="20"/>
          <w:bdr w:val="none" w:sz="0" w:space="0" w:color="auto" w:frame="1"/>
        </w:rPr>
        <w:br/>
      </w:r>
      <w:hyperlink r:id="rId13" w:history="1">
        <w:r w:rsidR="00BC192C" w:rsidRPr="00BC192C">
          <w:rPr>
            <w:rStyle w:val="Hyperlink"/>
            <w:rFonts w:ascii="Calibri" w:hAnsi="Calibri" w:cs="Calibri"/>
            <w:highlight w:val="yellow"/>
            <w:shd w:val="clear" w:color="auto" w:fill="FFFFFF"/>
          </w:rPr>
          <w:t>https://liiplweb.linkintime.co.in/formsreg/submission-of-form-15g-15h.html</w:t>
        </w:r>
      </w:hyperlink>
      <w:r w:rsidR="00BC192C">
        <w:rPr>
          <w:rFonts w:ascii="Century Gothic" w:eastAsia="Times New Roman" w:hAnsi="Century Gothic" w:cs="Calibri"/>
          <w:color w:val="000000"/>
          <w:sz w:val="20"/>
          <w:szCs w:val="20"/>
          <w:bdr w:val="none" w:sz="0" w:space="0" w:color="auto" w:frame="1"/>
        </w:rPr>
        <w:t xml:space="preserve"> </w:t>
      </w:r>
      <w:proofErr w:type="spellStart"/>
      <w:r w:rsidR="005D5822" w:rsidRPr="00620602">
        <w:rPr>
          <w:rFonts w:ascii="Century Gothic" w:eastAsia="Times New Roman" w:hAnsi="Century Gothic" w:cs="Calibri"/>
          <w:b/>
          <w:bCs/>
          <w:color w:val="201F1E"/>
          <w:sz w:val="20"/>
          <w:szCs w:val="20"/>
          <w:bdr w:val="none" w:sz="0" w:space="0" w:color="auto" w:frame="1"/>
        </w:rPr>
        <w:t>on</w:t>
      </w:r>
      <w:proofErr w:type="spellEnd"/>
      <w:r w:rsidR="00BC192C">
        <w:rPr>
          <w:rFonts w:ascii="Century Gothic" w:eastAsia="Times New Roman" w:hAnsi="Century Gothic" w:cs="Calibri"/>
          <w:b/>
          <w:bCs/>
          <w:color w:val="201F1E"/>
          <w:sz w:val="20"/>
          <w:szCs w:val="20"/>
          <w:bdr w:val="none" w:sz="0" w:space="0" w:color="auto" w:frame="1"/>
        </w:rPr>
        <w:t xml:space="preserve"> </w:t>
      </w:r>
      <w:r w:rsidR="005D5822" w:rsidRPr="00620602">
        <w:rPr>
          <w:rFonts w:ascii="Century Gothic" w:eastAsia="Times New Roman" w:hAnsi="Century Gothic" w:cs="Calibri"/>
          <w:b/>
          <w:bCs/>
          <w:color w:val="201F1E"/>
          <w:sz w:val="20"/>
          <w:szCs w:val="20"/>
          <w:bdr w:val="none" w:sz="0" w:space="0" w:color="auto" w:frame="1"/>
        </w:rPr>
        <w:t>or</w:t>
      </w:r>
      <w:r w:rsidR="00915FA2" w:rsidRPr="00620602">
        <w:rPr>
          <w:rFonts w:ascii="Century Gothic" w:eastAsia="Times New Roman" w:hAnsi="Century Gothic" w:cs="Calibri"/>
          <w:color w:val="201F1E"/>
          <w:sz w:val="20"/>
          <w:szCs w:val="20"/>
          <w:bdr w:val="none" w:sz="0" w:space="0" w:color="auto" w:frame="1"/>
        </w:rPr>
        <w:t xml:space="preserve"> </w:t>
      </w:r>
      <w:r w:rsidR="00915FA2" w:rsidRPr="00620602">
        <w:rPr>
          <w:rFonts w:ascii="Century Gothic" w:eastAsia="Times New Roman" w:hAnsi="Century Gothic" w:cs="Calibri"/>
          <w:b/>
          <w:bCs/>
          <w:color w:val="201F1E"/>
          <w:sz w:val="20"/>
          <w:szCs w:val="20"/>
          <w:bdr w:val="none" w:sz="0" w:space="0" w:color="auto" w:frame="1"/>
        </w:rPr>
        <w:t>before</w:t>
      </w:r>
      <w:r w:rsidR="005D5822" w:rsidRPr="00620602">
        <w:rPr>
          <w:rFonts w:ascii="Century Gothic" w:eastAsia="Times New Roman" w:hAnsi="Century Gothic" w:cs="Calibri"/>
          <w:color w:val="201F1E"/>
          <w:sz w:val="20"/>
          <w:szCs w:val="20"/>
          <w:bdr w:val="none" w:sz="0" w:space="0" w:color="auto" w:frame="1"/>
        </w:rPr>
        <w:t> </w:t>
      </w:r>
      <w:r w:rsidR="00B1153D" w:rsidRPr="00620602">
        <w:rPr>
          <w:rFonts w:ascii="Century Gothic" w:eastAsia="Times New Roman" w:hAnsi="Century Gothic" w:cs="Calibri"/>
          <w:b/>
          <w:bCs/>
          <w:color w:val="201F1E"/>
          <w:sz w:val="20"/>
          <w:szCs w:val="20"/>
          <w:bdr w:val="none" w:sz="0" w:space="0" w:color="auto" w:frame="1"/>
        </w:rPr>
        <w:t xml:space="preserve"> </w:t>
      </w:r>
      <w:r w:rsidR="006E2143">
        <w:rPr>
          <w:rFonts w:ascii="Century Gothic" w:eastAsia="Times New Roman" w:hAnsi="Century Gothic" w:cs="Calibri"/>
          <w:b/>
          <w:bCs/>
          <w:color w:val="201F1E"/>
          <w:sz w:val="20"/>
          <w:szCs w:val="20"/>
          <w:bdr w:val="none" w:sz="0" w:space="0" w:color="auto" w:frame="1"/>
        </w:rPr>
        <w:t>Wednesday</w:t>
      </w:r>
      <w:r w:rsidR="00B1153D" w:rsidRPr="00620602">
        <w:rPr>
          <w:rFonts w:ascii="Century Gothic" w:eastAsia="Times New Roman" w:hAnsi="Century Gothic" w:cs="Calibri"/>
          <w:b/>
          <w:bCs/>
          <w:sz w:val="20"/>
          <w:szCs w:val="20"/>
          <w:bdr w:val="none" w:sz="0" w:space="0" w:color="auto" w:frame="1"/>
        </w:rPr>
        <w:t xml:space="preserve">, </w:t>
      </w:r>
      <w:r w:rsidR="00B26CD5" w:rsidRPr="00620602">
        <w:rPr>
          <w:rFonts w:ascii="Century Gothic" w:eastAsia="Times New Roman" w:hAnsi="Century Gothic" w:cs="Calibri"/>
          <w:b/>
          <w:bCs/>
          <w:sz w:val="20"/>
          <w:szCs w:val="20"/>
          <w:bdr w:val="none" w:sz="0" w:space="0" w:color="auto" w:frame="1"/>
        </w:rPr>
        <w:t>July 10, 202</w:t>
      </w:r>
      <w:r w:rsidR="006E2143">
        <w:rPr>
          <w:rFonts w:ascii="Century Gothic" w:eastAsia="Times New Roman" w:hAnsi="Century Gothic" w:cs="Calibri"/>
          <w:b/>
          <w:bCs/>
          <w:sz w:val="20"/>
          <w:szCs w:val="20"/>
          <w:bdr w:val="none" w:sz="0" w:space="0" w:color="auto" w:frame="1"/>
        </w:rPr>
        <w:t>4</w:t>
      </w:r>
      <w:r w:rsidR="000C0893">
        <w:rPr>
          <w:rFonts w:ascii="Century Gothic" w:eastAsia="Times New Roman" w:hAnsi="Century Gothic" w:cs="Calibri"/>
          <w:b/>
          <w:bCs/>
          <w:sz w:val="20"/>
          <w:szCs w:val="20"/>
          <w:bdr w:val="none" w:sz="0" w:space="0" w:color="auto" w:frame="1"/>
        </w:rPr>
        <w:t>.</w:t>
      </w:r>
      <w:r w:rsidR="00CF02D0" w:rsidRPr="00620602">
        <w:rPr>
          <w:rFonts w:ascii="Century Gothic" w:eastAsia="Times New Roman" w:hAnsi="Century Gothic" w:cs="Calibri"/>
          <w:color w:val="201F1E"/>
          <w:sz w:val="20"/>
          <w:szCs w:val="20"/>
          <w:bdr w:val="none" w:sz="0" w:space="0" w:color="auto" w:frame="1"/>
        </w:rPr>
        <w:t xml:space="preserve"> </w:t>
      </w:r>
    </w:p>
    <w:p w14:paraId="03457AA6" w14:textId="77777777" w:rsidR="005D5822" w:rsidRPr="00620602" w:rsidRDefault="005D5822" w:rsidP="00BC192C">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1B7EDFDD"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On clicking the above link, the user will be prompted to select/share the following information to register their request: -</w:t>
      </w:r>
    </w:p>
    <w:p w14:paraId="6D5EE58B" w14:textId="77777777" w:rsidR="005D5822" w:rsidRPr="00620602" w:rsidRDefault="005D5822" w:rsidP="005D5822">
      <w:pPr>
        <w:shd w:val="clear" w:color="auto" w:fill="FFFFFF"/>
        <w:spacing w:after="0" w:line="240" w:lineRule="auto"/>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6C99088B"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1.</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Select the company (Dropdown)</w:t>
      </w:r>
    </w:p>
    <w:p w14:paraId="45E9B0DC"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2.</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Folio / DP-Client ID</w:t>
      </w:r>
    </w:p>
    <w:p w14:paraId="3132C535"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3.</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PAN</w:t>
      </w:r>
    </w:p>
    <w:p w14:paraId="03C46191"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4.</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Financial year (Dropdown)</w:t>
      </w:r>
    </w:p>
    <w:p w14:paraId="1FDFACF4"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5.</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Form selection</w:t>
      </w:r>
    </w:p>
    <w:p w14:paraId="62FAC5BC"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6.</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Document attachment - 1 (PAN)</w:t>
      </w:r>
    </w:p>
    <w:p w14:paraId="4980A6DF"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7.</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Document attachment - 2 (Applicable Form(s))</w:t>
      </w:r>
    </w:p>
    <w:p w14:paraId="678E903A" w14:textId="77777777" w:rsidR="005D5822" w:rsidRPr="00620602" w:rsidRDefault="005D5822" w:rsidP="005D5822">
      <w:pPr>
        <w:shd w:val="clear" w:color="auto" w:fill="FFFFFF"/>
        <w:spacing w:after="0" w:line="240" w:lineRule="auto"/>
        <w:ind w:left="360" w:hanging="360"/>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8.</w:t>
      </w:r>
      <w:r w:rsidRPr="00620602">
        <w:rPr>
          <w:rFonts w:ascii="Century Gothic" w:eastAsia="Times New Roman" w:hAnsi="Century Gothic" w:cs="Times New Roman"/>
          <w:b/>
          <w:bCs/>
          <w:color w:val="201F1E"/>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Document attachment - 3 (Any other supporting document)</w:t>
      </w:r>
    </w:p>
    <w:p w14:paraId="633FEB64"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0CEF72C4" w14:textId="4F13635E" w:rsidR="005D5822" w:rsidRPr="00620602" w:rsidRDefault="005D5822" w:rsidP="0061015B">
      <w:pPr>
        <w:shd w:val="clear" w:color="auto" w:fill="FFFFFF"/>
        <w:spacing w:after="0" w:line="240" w:lineRule="auto"/>
        <w:jc w:val="both"/>
        <w:rPr>
          <w:rFonts w:ascii="Century Gothic" w:eastAsia="Times New Roman" w:hAnsi="Century Gothic" w:cs="Calibri"/>
          <w:b/>
          <w:bCs/>
          <w:color w:val="201F1E"/>
          <w:sz w:val="20"/>
          <w:szCs w:val="20"/>
          <w:bdr w:val="none" w:sz="0" w:space="0" w:color="auto" w:frame="1"/>
        </w:rPr>
      </w:pPr>
      <w:r w:rsidRPr="00620602">
        <w:rPr>
          <w:rFonts w:ascii="Century Gothic" w:eastAsia="Times New Roman" w:hAnsi="Century Gothic" w:cs="Calibri"/>
          <w:b/>
          <w:bCs/>
          <w:color w:val="201F1E"/>
          <w:sz w:val="20"/>
          <w:szCs w:val="20"/>
          <w:bdr w:val="none" w:sz="0" w:space="0" w:color="auto" w:frame="1"/>
        </w:rPr>
        <w:t xml:space="preserve">Please note that no communication on tax determination/deduction shall be entertained after </w:t>
      </w:r>
      <w:r w:rsidR="002E7232">
        <w:rPr>
          <w:rFonts w:ascii="Century Gothic" w:eastAsia="Times New Roman" w:hAnsi="Century Gothic" w:cs="Calibri"/>
          <w:b/>
          <w:bCs/>
          <w:color w:val="201F1E"/>
          <w:sz w:val="20"/>
          <w:szCs w:val="20"/>
          <w:bdr w:val="none" w:sz="0" w:space="0" w:color="auto" w:frame="1"/>
        </w:rPr>
        <w:t>Wednesd</w:t>
      </w:r>
      <w:r w:rsidR="00834DD6" w:rsidRPr="00620602">
        <w:rPr>
          <w:rFonts w:ascii="Century Gothic" w:eastAsia="Times New Roman" w:hAnsi="Century Gothic" w:cs="Calibri"/>
          <w:b/>
          <w:bCs/>
          <w:color w:val="201F1E"/>
          <w:sz w:val="20"/>
          <w:szCs w:val="20"/>
          <w:bdr w:val="none" w:sz="0" w:space="0" w:color="auto" w:frame="1"/>
        </w:rPr>
        <w:t xml:space="preserve">ay, </w:t>
      </w:r>
      <w:r w:rsidR="004377EB">
        <w:rPr>
          <w:rFonts w:ascii="Century Gothic" w:eastAsia="Times New Roman" w:hAnsi="Century Gothic" w:cs="Calibri"/>
          <w:b/>
          <w:bCs/>
          <w:color w:val="201F1E"/>
          <w:sz w:val="20"/>
          <w:szCs w:val="20"/>
          <w:bdr w:val="none" w:sz="0" w:space="0" w:color="auto" w:frame="1"/>
        </w:rPr>
        <w:t>July 1</w:t>
      </w:r>
      <w:r w:rsidR="002E7232">
        <w:rPr>
          <w:rFonts w:ascii="Century Gothic" w:eastAsia="Times New Roman" w:hAnsi="Century Gothic" w:cs="Calibri"/>
          <w:b/>
          <w:bCs/>
          <w:color w:val="201F1E"/>
          <w:sz w:val="20"/>
          <w:szCs w:val="20"/>
          <w:bdr w:val="none" w:sz="0" w:space="0" w:color="auto" w:frame="1"/>
        </w:rPr>
        <w:t>0</w:t>
      </w:r>
      <w:r w:rsidR="004377EB">
        <w:rPr>
          <w:rFonts w:ascii="Century Gothic" w:eastAsia="Times New Roman" w:hAnsi="Century Gothic" w:cs="Calibri"/>
          <w:b/>
          <w:bCs/>
          <w:color w:val="201F1E"/>
          <w:sz w:val="20"/>
          <w:szCs w:val="20"/>
          <w:bdr w:val="none" w:sz="0" w:space="0" w:color="auto" w:frame="1"/>
        </w:rPr>
        <w:t>,</w:t>
      </w:r>
      <w:r w:rsidR="00834DD6" w:rsidRPr="00620602">
        <w:rPr>
          <w:rFonts w:ascii="Century Gothic" w:eastAsia="Times New Roman" w:hAnsi="Century Gothic" w:cs="Calibri"/>
          <w:b/>
          <w:bCs/>
          <w:color w:val="201F1E"/>
          <w:sz w:val="20"/>
          <w:szCs w:val="20"/>
          <w:bdr w:val="none" w:sz="0" w:space="0" w:color="auto" w:frame="1"/>
        </w:rPr>
        <w:t xml:space="preserve"> 202</w:t>
      </w:r>
      <w:r w:rsidR="008C2625">
        <w:rPr>
          <w:rFonts w:ascii="Century Gothic" w:eastAsia="Times New Roman" w:hAnsi="Century Gothic" w:cs="Calibri"/>
          <w:b/>
          <w:bCs/>
          <w:color w:val="201F1E"/>
          <w:sz w:val="20"/>
          <w:szCs w:val="20"/>
          <w:bdr w:val="none" w:sz="0" w:space="0" w:color="auto" w:frame="1"/>
        </w:rPr>
        <w:t>4</w:t>
      </w:r>
      <w:r w:rsidR="006A77F1">
        <w:rPr>
          <w:rFonts w:ascii="Century Gothic" w:eastAsia="Times New Roman" w:hAnsi="Century Gothic" w:cs="Calibri"/>
          <w:b/>
          <w:bCs/>
          <w:color w:val="201F1E"/>
          <w:sz w:val="20"/>
          <w:szCs w:val="20"/>
          <w:bdr w:val="none" w:sz="0" w:space="0" w:color="auto" w:frame="1"/>
        </w:rPr>
        <w:t>.</w:t>
      </w:r>
      <w:r w:rsidRPr="00620602">
        <w:rPr>
          <w:rFonts w:ascii="Century Gothic" w:eastAsia="Times New Roman" w:hAnsi="Century Gothic" w:cs="Calibri"/>
          <w:b/>
          <w:bCs/>
          <w:color w:val="201F1E"/>
          <w:sz w:val="20"/>
          <w:szCs w:val="20"/>
          <w:bdr w:val="none" w:sz="0" w:space="0" w:color="auto" w:frame="1"/>
        </w:rPr>
        <w:t xml:space="preserve"> </w:t>
      </w:r>
      <w:r w:rsidR="00103B44" w:rsidRPr="00620602">
        <w:rPr>
          <w:rFonts w:ascii="Century Gothic" w:hAnsi="Century Gothic" w:cs="Arial"/>
          <w:b/>
          <w:bCs/>
          <w:sz w:val="20"/>
          <w:szCs w:val="20"/>
        </w:rPr>
        <w:t xml:space="preserve">Documents received through any other modes viz. email or hand delivery will not be considered to determine/deduct TDS/withholding tax.  </w:t>
      </w:r>
    </w:p>
    <w:p w14:paraId="15DEA941" w14:textId="77777777" w:rsidR="0061015B" w:rsidRPr="00620602" w:rsidRDefault="0061015B" w:rsidP="0061015B">
      <w:pPr>
        <w:shd w:val="clear" w:color="auto" w:fill="FFFFFF"/>
        <w:spacing w:after="0" w:line="240" w:lineRule="auto"/>
        <w:jc w:val="both"/>
        <w:rPr>
          <w:rFonts w:ascii="Century Gothic" w:eastAsia="Times New Roman" w:hAnsi="Century Gothic" w:cs="Segoe UI"/>
          <w:color w:val="201F1E"/>
          <w:sz w:val="20"/>
          <w:szCs w:val="20"/>
        </w:rPr>
      </w:pPr>
    </w:p>
    <w:p w14:paraId="591276C2" w14:textId="1B33118E"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Shareholders are requested to note that in case tax on dividend is deducted at a higher rate on account of non-receipt or insufficiency of requisite documents, they can claim refund at the time of filing income tax return.</w:t>
      </w:r>
      <w:r w:rsidR="002175A2" w:rsidRPr="00620602">
        <w:rPr>
          <w:rFonts w:ascii="Century Gothic" w:hAnsi="Century Gothic" w:cs="Arial"/>
          <w:sz w:val="18"/>
          <w:szCs w:val="18"/>
        </w:rPr>
        <w:t xml:space="preserve"> </w:t>
      </w:r>
      <w:r w:rsidR="002175A2" w:rsidRPr="00620602">
        <w:rPr>
          <w:rFonts w:ascii="Century Gothic" w:hAnsi="Century Gothic" w:cs="Arial"/>
          <w:sz w:val="20"/>
          <w:szCs w:val="20"/>
        </w:rPr>
        <w:t xml:space="preserve">No claim shall lie against the Company for taxes once deducted. </w:t>
      </w:r>
      <w:r w:rsidRPr="00620602">
        <w:rPr>
          <w:rFonts w:ascii="Century Gothic" w:eastAsia="Times New Roman" w:hAnsi="Century Gothic" w:cs="Calibri"/>
          <w:color w:val="201F1E"/>
          <w:bdr w:val="none" w:sz="0" w:space="0" w:color="auto" w:frame="1"/>
        </w:rPr>
        <w:t xml:space="preserve"> </w:t>
      </w:r>
      <w:r w:rsidRPr="00620602">
        <w:rPr>
          <w:rFonts w:ascii="Century Gothic" w:eastAsia="Times New Roman" w:hAnsi="Century Gothic" w:cs="Calibri"/>
          <w:color w:val="201F1E"/>
          <w:sz w:val="20"/>
          <w:szCs w:val="20"/>
          <w:bdr w:val="none" w:sz="0" w:space="0" w:color="auto" w:frame="1"/>
        </w:rPr>
        <w:t>The Company will mail a soft copy of the TDS certificate to shareholders on their registered email IDs post completion of activities.</w:t>
      </w:r>
      <w:r w:rsidRPr="00620602">
        <w:rPr>
          <w:rFonts w:ascii="Century Gothic" w:eastAsia="Times New Roman" w:hAnsi="Century Gothic" w:cs="Calibri"/>
          <w:color w:val="000000"/>
          <w:sz w:val="20"/>
          <w:szCs w:val="20"/>
          <w:bdr w:val="none" w:sz="0" w:space="0" w:color="auto" w:frame="1"/>
        </w:rPr>
        <w:t> </w:t>
      </w:r>
      <w:r w:rsidRPr="00620602">
        <w:rPr>
          <w:rFonts w:ascii="Century Gothic" w:eastAsia="Times New Roman" w:hAnsi="Century Gothic" w:cs="Calibri"/>
          <w:color w:val="201F1E"/>
          <w:sz w:val="20"/>
          <w:szCs w:val="20"/>
          <w:bdr w:val="none" w:sz="0" w:space="0" w:color="auto" w:frame="1"/>
        </w:rPr>
        <w:t>Shareholders</w:t>
      </w:r>
      <w:r w:rsidRPr="00620602">
        <w:rPr>
          <w:rFonts w:ascii="Century Gothic" w:eastAsia="Times New Roman" w:hAnsi="Century Gothic" w:cs="Calibri"/>
          <w:color w:val="000000"/>
          <w:sz w:val="20"/>
          <w:szCs w:val="20"/>
          <w:bdr w:val="none" w:sz="0" w:space="0" w:color="auto" w:frame="1"/>
        </w:rPr>
        <w:t> may view the credit of TDS in Form 26AS</w:t>
      </w:r>
      <w:r w:rsidR="008A695F">
        <w:rPr>
          <w:rFonts w:ascii="Century Gothic" w:eastAsia="Times New Roman" w:hAnsi="Century Gothic" w:cs="Calibri"/>
          <w:color w:val="000000"/>
          <w:sz w:val="20"/>
          <w:szCs w:val="20"/>
          <w:bdr w:val="none" w:sz="0" w:space="0" w:color="auto" w:frame="1"/>
        </w:rPr>
        <w:t>/AIS</w:t>
      </w:r>
      <w:r w:rsidRPr="00620602">
        <w:rPr>
          <w:rFonts w:ascii="Century Gothic" w:eastAsia="Times New Roman" w:hAnsi="Century Gothic" w:cs="Calibri"/>
          <w:color w:val="000000"/>
          <w:sz w:val="20"/>
          <w:szCs w:val="20"/>
          <w:bdr w:val="none" w:sz="0" w:space="0" w:color="auto" w:frame="1"/>
        </w:rPr>
        <w:t>, which can be downloaded from their e-filing account at </w:t>
      </w:r>
      <w:hyperlink r:id="rId14" w:history="1">
        <w:r w:rsidR="007C0740" w:rsidRPr="00620602">
          <w:rPr>
            <w:rStyle w:val="Hyperlink"/>
            <w:rFonts w:ascii="Century Gothic" w:eastAsia="Times New Roman" w:hAnsi="Century Gothic" w:cs="Calibri"/>
            <w:sz w:val="20"/>
            <w:szCs w:val="20"/>
            <w:bdr w:val="none" w:sz="0" w:space="0" w:color="auto" w:frame="1"/>
          </w:rPr>
          <w:t>https://www.incometax.gov.in</w:t>
        </w:r>
      </w:hyperlink>
      <w:r w:rsidRPr="00620602">
        <w:rPr>
          <w:rFonts w:ascii="Century Gothic" w:eastAsia="Times New Roman" w:hAnsi="Century Gothic" w:cs="Calibri"/>
          <w:color w:val="4286F5"/>
          <w:sz w:val="20"/>
          <w:szCs w:val="20"/>
          <w:bdr w:val="none" w:sz="0" w:space="0" w:color="auto" w:frame="1"/>
        </w:rPr>
        <w:t>.</w:t>
      </w:r>
    </w:p>
    <w:p w14:paraId="3462DB1A" w14:textId="77777777" w:rsidR="005D5822" w:rsidRPr="00620602" w:rsidRDefault="005D5822" w:rsidP="005D5822">
      <w:pPr>
        <w:shd w:val="clear" w:color="auto" w:fill="FFFFFF"/>
        <w:spacing w:after="0" w:line="240" w:lineRule="auto"/>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4F7C3A21"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xml:space="preserve">Shareholders are requested to update their PAN and email address with depositories (for shares held in </w:t>
      </w:r>
      <w:proofErr w:type="spellStart"/>
      <w:r w:rsidRPr="00620602">
        <w:rPr>
          <w:rFonts w:ascii="Century Gothic" w:eastAsia="Times New Roman" w:hAnsi="Century Gothic" w:cs="Calibri"/>
          <w:color w:val="201F1E"/>
          <w:sz w:val="20"/>
          <w:szCs w:val="20"/>
          <w:bdr w:val="none" w:sz="0" w:space="0" w:color="auto" w:frame="1"/>
        </w:rPr>
        <w:t>demat</w:t>
      </w:r>
      <w:proofErr w:type="spellEnd"/>
      <w:r w:rsidRPr="00620602">
        <w:rPr>
          <w:rFonts w:ascii="Century Gothic" w:eastAsia="Times New Roman" w:hAnsi="Century Gothic" w:cs="Calibri"/>
          <w:color w:val="201F1E"/>
          <w:sz w:val="20"/>
          <w:szCs w:val="20"/>
          <w:bdr w:val="none" w:sz="0" w:space="0" w:color="auto" w:frame="1"/>
        </w:rPr>
        <w:t xml:space="preserve"> mode) and with the Link Intime (for shares held in physical mode), if not already done.</w:t>
      </w:r>
    </w:p>
    <w:p w14:paraId="756B6A75" w14:textId="6BF37E22" w:rsidR="002175A2" w:rsidRPr="00620602" w:rsidRDefault="005D5822"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rPr>
      </w:pPr>
      <w:r w:rsidRPr="00620602">
        <w:rPr>
          <w:rFonts w:ascii="Century Gothic" w:eastAsia="Times New Roman" w:hAnsi="Century Gothic" w:cs="Calibri"/>
          <w:color w:val="201F1E"/>
          <w:sz w:val="20"/>
          <w:szCs w:val="20"/>
          <w:bdr w:val="none" w:sz="0" w:space="0" w:color="auto" w:frame="1"/>
        </w:rPr>
        <w:t> </w:t>
      </w:r>
    </w:p>
    <w:p w14:paraId="79B3A499" w14:textId="2916B430"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323130"/>
          <w:sz w:val="20"/>
          <w:szCs w:val="20"/>
          <w:bdr w:val="none" w:sz="0" w:space="0" w:color="auto" w:frame="1"/>
        </w:rPr>
        <w:t>P</w:t>
      </w:r>
      <w:r w:rsidRPr="00620602">
        <w:rPr>
          <w:rFonts w:ascii="Century Gothic" w:eastAsia="Times New Roman" w:hAnsi="Century Gothic" w:cs="Calibri"/>
          <w:color w:val="201F1E"/>
          <w:sz w:val="20"/>
          <w:szCs w:val="20"/>
          <w:bdr w:val="none" w:sz="0" w:space="0" w:color="auto" w:frame="1"/>
        </w:rPr>
        <w:t xml:space="preserve">ursuant to General Circular No. 20/2020 dated May 5, 2020, issued by the Ministry of Corporate Affairs, Government of India, dividend will be paid electronically in the bank accounts of Shareholders. </w:t>
      </w:r>
      <w:r w:rsidR="00E44A12">
        <w:rPr>
          <w:rFonts w:ascii="Century Gothic" w:eastAsia="Times New Roman" w:hAnsi="Century Gothic" w:cs="Calibri"/>
          <w:color w:val="201F1E"/>
          <w:sz w:val="20"/>
          <w:szCs w:val="20"/>
          <w:bdr w:val="none" w:sz="0" w:space="0" w:color="auto" w:frame="1"/>
        </w:rPr>
        <w:t xml:space="preserve"> </w:t>
      </w:r>
      <w:r w:rsidRPr="00620602">
        <w:rPr>
          <w:rFonts w:ascii="Century Gothic" w:eastAsia="Times New Roman" w:hAnsi="Century Gothic" w:cs="Calibri"/>
          <w:color w:val="201F1E"/>
          <w:sz w:val="20"/>
          <w:szCs w:val="20"/>
          <w:bdr w:val="none" w:sz="0" w:space="0" w:color="auto" w:frame="1"/>
        </w:rPr>
        <w:t xml:space="preserve">Shareholders holding shares in </w:t>
      </w:r>
      <w:proofErr w:type="spellStart"/>
      <w:r w:rsidRPr="00620602">
        <w:rPr>
          <w:rFonts w:ascii="Century Gothic" w:eastAsia="Times New Roman" w:hAnsi="Century Gothic" w:cs="Calibri"/>
          <w:color w:val="201F1E"/>
          <w:sz w:val="20"/>
          <w:szCs w:val="20"/>
          <w:bdr w:val="none" w:sz="0" w:space="0" w:color="auto" w:frame="1"/>
        </w:rPr>
        <w:t>demat</w:t>
      </w:r>
      <w:proofErr w:type="spellEnd"/>
      <w:r w:rsidRPr="00620602">
        <w:rPr>
          <w:rFonts w:ascii="Century Gothic" w:eastAsia="Times New Roman" w:hAnsi="Century Gothic" w:cs="Calibri"/>
          <w:color w:val="201F1E"/>
          <w:sz w:val="20"/>
          <w:szCs w:val="20"/>
          <w:bdr w:val="none" w:sz="0" w:space="0" w:color="auto" w:frame="1"/>
        </w:rPr>
        <w:t xml:space="preserve"> form are advised to keep the bank details updated with their depository participants. Shareholders holding shares in physical form and who have not updated their bank accounts details are requested to update the same with Link Intime after following the process available on the link </w:t>
      </w:r>
      <w:hyperlink r:id="rId15" w:tgtFrame="_blank" w:history="1">
        <w:r w:rsidRPr="00620602">
          <w:rPr>
            <w:rFonts w:ascii="Century Gothic" w:eastAsia="Times New Roman" w:hAnsi="Century Gothic" w:cs="Calibri"/>
            <w:color w:val="0000FF"/>
            <w:sz w:val="20"/>
            <w:szCs w:val="20"/>
            <w:highlight w:val="yellow"/>
            <w:u w:val="single"/>
            <w:bdr w:val="none" w:sz="0" w:space="0" w:color="auto" w:frame="1"/>
          </w:rPr>
          <w:t>https://linkintime.co.in/emailreg/email_register.html</w:t>
        </w:r>
      </w:hyperlink>
      <w:r w:rsidRPr="00620602">
        <w:rPr>
          <w:rFonts w:ascii="Century Gothic" w:eastAsia="Times New Roman" w:hAnsi="Century Gothic" w:cs="Calibri"/>
          <w:color w:val="201F1E"/>
          <w:sz w:val="20"/>
          <w:szCs w:val="20"/>
          <w:highlight w:val="yellow"/>
          <w:bdr w:val="none" w:sz="0" w:space="0" w:color="auto" w:frame="1"/>
        </w:rPr>
        <w:t>.</w:t>
      </w:r>
    </w:p>
    <w:p w14:paraId="7BBE847A"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56ED491C" w14:textId="1B85CEA0"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To view / download</w:t>
      </w:r>
      <w:r w:rsidR="005619EF" w:rsidRPr="00620602">
        <w:rPr>
          <w:rFonts w:ascii="Century Gothic" w:eastAsia="Times New Roman" w:hAnsi="Century Gothic" w:cs="Calibri"/>
          <w:color w:val="201F1E"/>
          <w:sz w:val="20"/>
          <w:szCs w:val="20"/>
          <w:bdr w:val="none" w:sz="0" w:space="0" w:color="auto" w:frame="1"/>
        </w:rPr>
        <w:t xml:space="preserve"> – Form 15G- </w:t>
      </w:r>
      <w:r w:rsidRPr="00620602">
        <w:rPr>
          <w:rFonts w:ascii="Century Gothic" w:eastAsia="Times New Roman" w:hAnsi="Century Gothic" w:cs="Calibri"/>
          <w:color w:val="201F1E"/>
          <w:sz w:val="20"/>
          <w:szCs w:val="20"/>
          <w:bdr w:val="none" w:sz="0" w:space="0" w:color="auto" w:frame="1"/>
        </w:rPr>
        <w:t xml:space="preserve"> </w:t>
      </w:r>
      <w:r w:rsidRPr="00620602">
        <w:rPr>
          <w:rFonts w:ascii="Century Gothic" w:eastAsia="Times New Roman" w:hAnsi="Century Gothic" w:cs="Calibri"/>
          <w:b/>
          <w:bCs/>
          <w:color w:val="201F1E"/>
          <w:sz w:val="20"/>
          <w:szCs w:val="20"/>
          <w:bdr w:val="none" w:sz="0" w:space="0" w:color="auto" w:frame="1"/>
        </w:rPr>
        <w:t>Annexure I</w:t>
      </w:r>
      <w:r w:rsidRPr="00620602">
        <w:rPr>
          <w:rFonts w:ascii="Century Gothic" w:eastAsia="Times New Roman" w:hAnsi="Century Gothic" w:cs="Calibri"/>
          <w:color w:val="201F1E"/>
          <w:sz w:val="20"/>
          <w:szCs w:val="20"/>
          <w:bdr w:val="none" w:sz="0" w:space="0" w:color="auto" w:frame="1"/>
        </w:rPr>
        <w:t> </w:t>
      </w:r>
      <w:hyperlink r:id="rId16" w:tgtFrame="_blank" w:history="1">
        <w:r w:rsidRPr="00620602">
          <w:rPr>
            <w:rFonts w:ascii="Century Gothic" w:eastAsia="Times New Roman" w:hAnsi="Century Gothic" w:cs="Calibri"/>
            <w:color w:val="0000FF"/>
            <w:sz w:val="20"/>
            <w:szCs w:val="20"/>
            <w:u w:val="single"/>
            <w:bdr w:val="none" w:sz="0" w:space="0" w:color="auto" w:frame="1"/>
          </w:rPr>
          <w:t>click here</w:t>
        </w:r>
      </w:hyperlink>
      <w:r w:rsidRPr="00620602">
        <w:rPr>
          <w:rFonts w:ascii="Century Gothic" w:eastAsia="Times New Roman" w:hAnsi="Century Gothic" w:cs="Calibri"/>
          <w:color w:val="201F1E"/>
          <w:sz w:val="20"/>
          <w:szCs w:val="20"/>
          <w:bdr w:val="none" w:sz="0" w:space="0" w:color="auto" w:frame="1"/>
        </w:rPr>
        <w:t>.</w:t>
      </w:r>
    </w:p>
    <w:p w14:paraId="681A9CB3" w14:textId="151843B4"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xml:space="preserve">To view / download </w:t>
      </w:r>
      <w:r w:rsidR="005619EF" w:rsidRPr="00620602">
        <w:rPr>
          <w:rFonts w:ascii="Century Gothic" w:eastAsia="Times New Roman" w:hAnsi="Century Gothic" w:cs="Calibri"/>
          <w:color w:val="201F1E"/>
          <w:sz w:val="20"/>
          <w:szCs w:val="20"/>
          <w:bdr w:val="none" w:sz="0" w:space="0" w:color="auto" w:frame="1"/>
        </w:rPr>
        <w:t xml:space="preserve">– Form 15H- </w:t>
      </w:r>
      <w:r w:rsidRPr="00620602">
        <w:rPr>
          <w:rFonts w:ascii="Century Gothic" w:eastAsia="Times New Roman" w:hAnsi="Century Gothic" w:cs="Calibri"/>
          <w:b/>
          <w:bCs/>
          <w:color w:val="201F1E"/>
          <w:sz w:val="20"/>
          <w:szCs w:val="20"/>
          <w:bdr w:val="none" w:sz="0" w:space="0" w:color="auto" w:frame="1"/>
        </w:rPr>
        <w:t>Annexure II</w:t>
      </w:r>
      <w:r w:rsidRPr="00620602">
        <w:rPr>
          <w:rFonts w:ascii="Century Gothic" w:eastAsia="Times New Roman" w:hAnsi="Century Gothic" w:cs="Calibri"/>
          <w:color w:val="201F1E"/>
          <w:sz w:val="20"/>
          <w:szCs w:val="20"/>
          <w:bdr w:val="none" w:sz="0" w:space="0" w:color="auto" w:frame="1"/>
        </w:rPr>
        <w:t> </w:t>
      </w:r>
      <w:hyperlink r:id="rId17" w:tgtFrame="_blank" w:history="1">
        <w:r w:rsidRPr="00620602">
          <w:rPr>
            <w:rFonts w:ascii="Century Gothic" w:eastAsia="Times New Roman" w:hAnsi="Century Gothic" w:cs="Calibri"/>
            <w:color w:val="0000FF"/>
            <w:sz w:val="20"/>
            <w:szCs w:val="20"/>
            <w:u w:val="single"/>
            <w:bdr w:val="none" w:sz="0" w:space="0" w:color="auto" w:frame="1"/>
          </w:rPr>
          <w:t>click here</w:t>
        </w:r>
      </w:hyperlink>
      <w:r w:rsidRPr="00620602">
        <w:rPr>
          <w:rFonts w:ascii="Century Gothic" w:eastAsia="Times New Roman" w:hAnsi="Century Gothic" w:cs="Calibri"/>
          <w:color w:val="201F1E"/>
          <w:sz w:val="20"/>
          <w:szCs w:val="20"/>
          <w:bdr w:val="none" w:sz="0" w:space="0" w:color="auto" w:frame="1"/>
        </w:rPr>
        <w:t>.</w:t>
      </w:r>
    </w:p>
    <w:p w14:paraId="5FFA5D96" w14:textId="0FFC19DD" w:rsidR="005D5822" w:rsidRDefault="005D5822"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rPr>
      </w:pPr>
      <w:r w:rsidRPr="00620602">
        <w:rPr>
          <w:rFonts w:ascii="Century Gothic" w:eastAsia="Times New Roman" w:hAnsi="Century Gothic" w:cs="Calibri"/>
          <w:color w:val="201F1E"/>
          <w:sz w:val="20"/>
          <w:szCs w:val="20"/>
          <w:bdr w:val="none" w:sz="0" w:space="0" w:color="auto" w:frame="1"/>
        </w:rPr>
        <w:t xml:space="preserve">To view / download </w:t>
      </w:r>
      <w:r w:rsidR="005619EF" w:rsidRPr="00620602">
        <w:rPr>
          <w:rFonts w:ascii="Century Gothic" w:eastAsia="Times New Roman" w:hAnsi="Century Gothic" w:cs="Calibri"/>
          <w:color w:val="201F1E"/>
          <w:sz w:val="20"/>
          <w:szCs w:val="20"/>
          <w:bdr w:val="none" w:sz="0" w:space="0" w:color="auto" w:frame="1"/>
        </w:rPr>
        <w:t xml:space="preserve">- </w:t>
      </w:r>
      <w:r w:rsidR="00CF00F8" w:rsidRPr="00620602">
        <w:rPr>
          <w:rFonts w:ascii="Century Gothic" w:eastAsia="Times New Roman" w:hAnsi="Century Gothic" w:cs="Calibri"/>
          <w:color w:val="201F1E"/>
          <w:sz w:val="20"/>
          <w:szCs w:val="20"/>
          <w:bdr w:val="none" w:sz="0" w:space="0" w:color="auto" w:frame="1"/>
        </w:rPr>
        <w:t xml:space="preserve">Declaration of category of shareholder - </w:t>
      </w:r>
      <w:r w:rsidRPr="00620602">
        <w:rPr>
          <w:rFonts w:ascii="Century Gothic" w:eastAsia="Times New Roman" w:hAnsi="Century Gothic" w:cs="Calibri"/>
          <w:b/>
          <w:bCs/>
          <w:color w:val="201F1E"/>
          <w:sz w:val="20"/>
          <w:szCs w:val="20"/>
          <w:bdr w:val="none" w:sz="0" w:space="0" w:color="auto" w:frame="1"/>
        </w:rPr>
        <w:t>Annexure III </w:t>
      </w:r>
      <w:hyperlink r:id="rId18" w:tgtFrame="_blank" w:history="1">
        <w:r w:rsidRPr="00620602">
          <w:rPr>
            <w:rFonts w:ascii="Century Gothic" w:eastAsia="Times New Roman" w:hAnsi="Century Gothic" w:cs="Calibri"/>
            <w:color w:val="0000FF"/>
            <w:sz w:val="20"/>
            <w:szCs w:val="20"/>
            <w:u w:val="single"/>
            <w:bdr w:val="none" w:sz="0" w:space="0" w:color="auto" w:frame="1"/>
          </w:rPr>
          <w:t>click here</w:t>
        </w:r>
      </w:hyperlink>
      <w:r w:rsidRPr="00620602">
        <w:rPr>
          <w:rFonts w:ascii="Century Gothic" w:eastAsia="Times New Roman" w:hAnsi="Century Gothic" w:cs="Calibri"/>
          <w:color w:val="201F1E"/>
          <w:sz w:val="20"/>
          <w:szCs w:val="20"/>
          <w:bdr w:val="none" w:sz="0" w:space="0" w:color="auto" w:frame="1"/>
        </w:rPr>
        <w:t>.</w:t>
      </w:r>
    </w:p>
    <w:p w14:paraId="7A6FF85D" w14:textId="77777777" w:rsidR="000C0893" w:rsidRDefault="00BB6C18" w:rsidP="005D5822">
      <w:pPr>
        <w:shd w:val="clear" w:color="auto" w:fill="FFFFFF"/>
        <w:spacing w:after="0" w:line="240" w:lineRule="auto"/>
        <w:jc w:val="both"/>
        <w:rPr>
          <w:rFonts w:ascii="Century Gothic" w:eastAsia="Times New Roman" w:hAnsi="Century Gothic" w:cs="Calibri"/>
          <w:color w:val="0000FF"/>
          <w:sz w:val="20"/>
          <w:szCs w:val="20"/>
          <w:u w:val="single"/>
          <w:bdr w:val="none" w:sz="0" w:space="0" w:color="auto" w:frame="1"/>
        </w:rPr>
      </w:pPr>
      <w:r>
        <w:rPr>
          <w:rFonts w:ascii="Century Gothic" w:eastAsia="Times New Roman" w:hAnsi="Century Gothic" w:cs="Calibri"/>
          <w:color w:val="201F1E"/>
          <w:sz w:val="20"/>
          <w:szCs w:val="20"/>
          <w:bdr w:val="none" w:sz="0" w:space="0" w:color="auto" w:frame="1"/>
        </w:rPr>
        <w:lastRenderedPageBreak/>
        <w:t xml:space="preserve">To view / download – Declaration for transfer of credit </w:t>
      </w:r>
      <w:r w:rsidR="00897A38">
        <w:rPr>
          <w:rFonts w:ascii="Century Gothic" w:eastAsia="Times New Roman" w:hAnsi="Century Gothic" w:cs="Calibri"/>
          <w:color w:val="201F1E"/>
          <w:sz w:val="20"/>
          <w:szCs w:val="20"/>
          <w:bdr w:val="none" w:sz="0" w:space="0" w:color="auto" w:frame="1"/>
        </w:rPr>
        <w:t xml:space="preserve">of TDS </w:t>
      </w:r>
      <w:r>
        <w:rPr>
          <w:rFonts w:ascii="Century Gothic" w:eastAsia="Times New Roman" w:hAnsi="Century Gothic" w:cs="Calibri"/>
          <w:color w:val="201F1E"/>
          <w:sz w:val="20"/>
          <w:szCs w:val="20"/>
          <w:bdr w:val="none" w:sz="0" w:space="0" w:color="auto" w:frame="1"/>
        </w:rPr>
        <w:t xml:space="preserve">to beneficial owner </w:t>
      </w:r>
      <w:r w:rsidR="000C0893">
        <w:rPr>
          <w:rFonts w:ascii="Century Gothic" w:eastAsia="Times New Roman" w:hAnsi="Century Gothic" w:cs="Calibri"/>
          <w:color w:val="201F1E"/>
          <w:sz w:val="20"/>
          <w:szCs w:val="20"/>
          <w:bdr w:val="none" w:sz="0" w:space="0" w:color="auto" w:frame="1"/>
        </w:rPr>
        <w:t>as per Rule 37BA</w:t>
      </w:r>
      <w:r>
        <w:rPr>
          <w:rFonts w:ascii="Century Gothic" w:eastAsia="Times New Roman" w:hAnsi="Century Gothic" w:cs="Calibri"/>
          <w:color w:val="201F1E"/>
          <w:sz w:val="20"/>
          <w:szCs w:val="20"/>
          <w:bdr w:val="none" w:sz="0" w:space="0" w:color="auto" w:frame="1"/>
        </w:rPr>
        <w:t xml:space="preserve">– </w:t>
      </w:r>
      <w:r w:rsidRPr="00BB6C18">
        <w:rPr>
          <w:rFonts w:ascii="Century Gothic" w:eastAsia="Times New Roman" w:hAnsi="Century Gothic" w:cs="Calibri"/>
          <w:b/>
          <w:bCs/>
          <w:color w:val="201F1E"/>
          <w:sz w:val="20"/>
          <w:szCs w:val="20"/>
          <w:bdr w:val="none" w:sz="0" w:space="0" w:color="auto" w:frame="1"/>
        </w:rPr>
        <w:t>Annexure IV</w:t>
      </w:r>
      <w:r>
        <w:rPr>
          <w:rFonts w:ascii="Century Gothic" w:eastAsia="Times New Roman" w:hAnsi="Century Gothic" w:cs="Calibri"/>
          <w:color w:val="201F1E"/>
          <w:sz w:val="20"/>
          <w:szCs w:val="20"/>
          <w:bdr w:val="none" w:sz="0" w:space="0" w:color="auto" w:frame="1"/>
        </w:rPr>
        <w:t xml:space="preserve"> </w:t>
      </w:r>
      <w:hyperlink r:id="rId19" w:tgtFrame="_blank" w:history="1">
        <w:r w:rsidRPr="00620602">
          <w:rPr>
            <w:rFonts w:ascii="Century Gothic" w:eastAsia="Times New Roman" w:hAnsi="Century Gothic" w:cs="Calibri"/>
            <w:color w:val="0000FF"/>
            <w:sz w:val="20"/>
            <w:szCs w:val="20"/>
            <w:u w:val="single"/>
            <w:bdr w:val="none" w:sz="0" w:space="0" w:color="auto" w:frame="1"/>
          </w:rPr>
          <w:t>click here</w:t>
        </w:r>
      </w:hyperlink>
    </w:p>
    <w:p w14:paraId="0FC43678" w14:textId="28DD6C2E" w:rsidR="006D583E" w:rsidRPr="00620602" w:rsidRDefault="00F9087B"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xml:space="preserve">To view / download </w:t>
      </w:r>
      <w:r w:rsidR="001A5AC1">
        <w:rPr>
          <w:rFonts w:ascii="Century Gothic" w:eastAsia="Times New Roman" w:hAnsi="Century Gothic" w:cs="Calibri"/>
          <w:color w:val="201F1E"/>
          <w:sz w:val="20"/>
          <w:szCs w:val="20"/>
          <w:bdr w:val="none" w:sz="0" w:space="0" w:color="auto" w:frame="1"/>
        </w:rPr>
        <w:t>–</w:t>
      </w:r>
      <w:r w:rsidR="00934FC9">
        <w:rPr>
          <w:rFonts w:ascii="Century Gothic" w:eastAsia="Times New Roman" w:hAnsi="Century Gothic" w:cs="Calibri"/>
          <w:color w:val="201F1E"/>
          <w:sz w:val="20"/>
          <w:szCs w:val="20"/>
          <w:bdr w:val="none" w:sz="0" w:space="0" w:color="auto" w:frame="1"/>
        </w:rPr>
        <w:t xml:space="preserve"> Steps for filing Electronic </w:t>
      </w:r>
      <w:r w:rsidR="00CF00F8" w:rsidRPr="00620602">
        <w:rPr>
          <w:rFonts w:ascii="Century Gothic" w:eastAsia="Times New Roman" w:hAnsi="Century Gothic" w:cs="Calibri"/>
          <w:color w:val="201F1E"/>
          <w:sz w:val="20"/>
          <w:szCs w:val="20"/>
          <w:bdr w:val="none" w:sz="0" w:space="0" w:color="auto" w:frame="1"/>
        </w:rPr>
        <w:t xml:space="preserve">Form 10F- </w:t>
      </w:r>
      <w:r w:rsidRPr="00620602">
        <w:rPr>
          <w:rFonts w:ascii="Century Gothic" w:eastAsia="Times New Roman" w:hAnsi="Century Gothic" w:cs="Calibri"/>
          <w:b/>
          <w:bCs/>
          <w:color w:val="201F1E"/>
          <w:sz w:val="20"/>
          <w:szCs w:val="20"/>
          <w:bdr w:val="none" w:sz="0" w:space="0" w:color="auto" w:frame="1"/>
        </w:rPr>
        <w:t>Annexure V</w:t>
      </w:r>
      <w:r w:rsidRPr="00620602">
        <w:rPr>
          <w:rFonts w:ascii="Century Gothic" w:eastAsia="Times New Roman" w:hAnsi="Century Gothic" w:cs="Calibri"/>
          <w:color w:val="201F1E"/>
          <w:sz w:val="20"/>
          <w:szCs w:val="20"/>
          <w:bdr w:val="none" w:sz="0" w:space="0" w:color="auto" w:frame="1"/>
        </w:rPr>
        <w:t> </w:t>
      </w:r>
      <w:hyperlink r:id="rId20" w:tgtFrame="_blank" w:history="1">
        <w:r w:rsidRPr="00620602">
          <w:rPr>
            <w:rFonts w:ascii="Century Gothic" w:eastAsia="Times New Roman" w:hAnsi="Century Gothic" w:cs="Calibri"/>
            <w:color w:val="0000FF"/>
            <w:sz w:val="20"/>
            <w:szCs w:val="20"/>
            <w:u w:val="single"/>
            <w:bdr w:val="none" w:sz="0" w:space="0" w:color="auto" w:frame="1"/>
          </w:rPr>
          <w:t>click here</w:t>
        </w:r>
      </w:hyperlink>
      <w:r w:rsidRPr="00620602">
        <w:rPr>
          <w:rFonts w:ascii="Century Gothic" w:eastAsia="Times New Roman" w:hAnsi="Century Gothic" w:cs="Calibri"/>
          <w:color w:val="201F1E"/>
          <w:sz w:val="20"/>
          <w:szCs w:val="20"/>
          <w:bdr w:val="none" w:sz="0" w:space="0" w:color="auto" w:frame="1"/>
        </w:rPr>
        <w:t>.</w:t>
      </w:r>
    </w:p>
    <w:p w14:paraId="22E5262D" w14:textId="3B8798E2"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xml:space="preserve">To view / download </w:t>
      </w:r>
      <w:r w:rsidR="00CF00F8" w:rsidRPr="00620602">
        <w:rPr>
          <w:rFonts w:ascii="Century Gothic" w:eastAsia="Times New Roman" w:hAnsi="Century Gothic" w:cs="Calibri"/>
          <w:color w:val="201F1E"/>
          <w:sz w:val="20"/>
          <w:szCs w:val="20"/>
          <w:bdr w:val="none" w:sz="0" w:space="0" w:color="auto" w:frame="1"/>
        </w:rPr>
        <w:t xml:space="preserve">- Non-Resident Tax Declaration - </w:t>
      </w:r>
      <w:r w:rsidRPr="00620602">
        <w:rPr>
          <w:rFonts w:ascii="Century Gothic" w:eastAsia="Times New Roman" w:hAnsi="Century Gothic" w:cs="Calibri"/>
          <w:b/>
          <w:bCs/>
          <w:color w:val="201F1E"/>
          <w:sz w:val="20"/>
          <w:szCs w:val="20"/>
          <w:bdr w:val="none" w:sz="0" w:space="0" w:color="auto" w:frame="1"/>
        </w:rPr>
        <w:t>Annexure V</w:t>
      </w:r>
      <w:r w:rsidR="00BB6C18">
        <w:rPr>
          <w:rFonts w:ascii="Century Gothic" w:eastAsia="Times New Roman" w:hAnsi="Century Gothic" w:cs="Calibri"/>
          <w:b/>
          <w:bCs/>
          <w:color w:val="201F1E"/>
          <w:sz w:val="20"/>
          <w:szCs w:val="20"/>
          <w:bdr w:val="none" w:sz="0" w:space="0" w:color="auto" w:frame="1"/>
        </w:rPr>
        <w:t>I</w:t>
      </w:r>
      <w:r w:rsidRPr="00620602">
        <w:rPr>
          <w:rFonts w:ascii="Century Gothic" w:eastAsia="Times New Roman" w:hAnsi="Century Gothic" w:cs="Calibri"/>
          <w:b/>
          <w:bCs/>
          <w:color w:val="201F1E"/>
          <w:sz w:val="20"/>
          <w:szCs w:val="20"/>
          <w:bdr w:val="none" w:sz="0" w:space="0" w:color="auto" w:frame="1"/>
        </w:rPr>
        <w:t> </w:t>
      </w:r>
      <w:hyperlink r:id="rId21" w:tgtFrame="_blank" w:history="1">
        <w:r w:rsidRPr="00620602">
          <w:rPr>
            <w:rFonts w:ascii="Century Gothic" w:eastAsia="Times New Roman" w:hAnsi="Century Gothic" w:cs="Calibri"/>
            <w:color w:val="0000FF"/>
            <w:sz w:val="20"/>
            <w:szCs w:val="20"/>
            <w:u w:val="single"/>
            <w:bdr w:val="none" w:sz="0" w:space="0" w:color="auto" w:frame="1"/>
          </w:rPr>
          <w:t>click here</w:t>
        </w:r>
      </w:hyperlink>
      <w:r w:rsidRPr="00620602">
        <w:rPr>
          <w:rFonts w:ascii="Century Gothic" w:eastAsia="Times New Roman" w:hAnsi="Century Gothic" w:cs="Calibri"/>
          <w:color w:val="201F1E"/>
          <w:sz w:val="20"/>
          <w:szCs w:val="20"/>
          <w:bdr w:val="none" w:sz="0" w:space="0" w:color="auto" w:frame="1"/>
        </w:rPr>
        <w:t>.</w:t>
      </w:r>
    </w:p>
    <w:p w14:paraId="424024B6"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 </w:t>
      </w:r>
    </w:p>
    <w:p w14:paraId="3AB91F7C" w14:textId="5AC4091F" w:rsidR="00E44A12" w:rsidRDefault="006A58D8" w:rsidP="005D5822">
      <w:pPr>
        <w:shd w:val="clear" w:color="auto" w:fill="FFFFFF"/>
        <w:spacing w:after="0" w:line="240" w:lineRule="auto"/>
        <w:jc w:val="both"/>
        <w:rPr>
          <w:rFonts w:ascii="Century Gothic" w:eastAsia="Times New Roman" w:hAnsi="Century Gothic" w:cs="Calibri"/>
          <w:color w:val="000000"/>
          <w:sz w:val="20"/>
          <w:szCs w:val="20"/>
          <w:bdr w:val="none" w:sz="0" w:space="0" w:color="auto" w:frame="1"/>
        </w:rPr>
      </w:pPr>
      <w:r>
        <w:rPr>
          <w:rFonts w:ascii="Century Gothic" w:eastAsia="Times New Roman" w:hAnsi="Century Gothic" w:cs="Calibri"/>
          <w:color w:val="000000"/>
          <w:sz w:val="20"/>
          <w:szCs w:val="20"/>
          <w:bdr w:val="none" w:sz="0" w:space="0" w:color="auto" w:frame="1"/>
        </w:rPr>
        <w:t>Shareholders holding shares in physical folios are requested to note that SEBI vide its Circular No. SEBI/HO</w:t>
      </w:r>
      <w:r w:rsidR="0058723D">
        <w:rPr>
          <w:rFonts w:ascii="Century Gothic" w:eastAsia="Times New Roman" w:hAnsi="Century Gothic" w:cs="Calibri"/>
          <w:color w:val="000000"/>
          <w:sz w:val="20"/>
          <w:szCs w:val="20"/>
          <w:bdr w:val="none" w:sz="0" w:space="0" w:color="auto" w:frame="1"/>
        </w:rPr>
        <w:t>/MIRSD_RTAMB/P/CIR/2021/655 dated November 3, 2021 (subsequently amended by Circular Nos. SEBI/HO/MIRSD_TRAMB/P/</w:t>
      </w:r>
      <w:r w:rsidR="00CA760E">
        <w:rPr>
          <w:rFonts w:ascii="Century Gothic" w:eastAsia="Times New Roman" w:hAnsi="Century Gothic" w:cs="Calibri"/>
          <w:color w:val="000000"/>
          <w:sz w:val="20"/>
          <w:szCs w:val="20"/>
          <w:bdr w:val="none" w:sz="0" w:space="0" w:color="auto" w:frame="1"/>
        </w:rPr>
        <w:t>CIR/2021/687 dated December 14, 2021, SEBI/HO/MIRSD/MIRSD</w:t>
      </w:r>
      <w:r w:rsidR="002C6EA3">
        <w:rPr>
          <w:rFonts w:ascii="Century Gothic" w:eastAsia="Times New Roman" w:hAnsi="Century Gothic" w:cs="Calibri"/>
          <w:color w:val="000000"/>
          <w:sz w:val="20"/>
          <w:szCs w:val="20"/>
          <w:bdr w:val="none" w:sz="0" w:space="0" w:color="auto" w:frame="1"/>
        </w:rPr>
        <w:t>-</w:t>
      </w:r>
      <w:r w:rsidR="00057FB9">
        <w:rPr>
          <w:rFonts w:ascii="Century Gothic" w:eastAsia="Times New Roman" w:hAnsi="Century Gothic" w:cs="Calibri"/>
          <w:color w:val="000000"/>
          <w:sz w:val="20"/>
          <w:szCs w:val="20"/>
          <w:bdr w:val="none" w:sz="0" w:space="0" w:color="auto" w:frame="1"/>
        </w:rPr>
        <w:t>POD</w:t>
      </w:r>
      <w:r w:rsidR="002C6EA3">
        <w:rPr>
          <w:rFonts w:ascii="Century Gothic" w:eastAsia="Times New Roman" w:hAnsi="Century Gothic" w:cs="Calibri"/>
          <w:color w:val="000000"/>
          <w:sz w:val="20"/>
          <w:szCs w:val="20"/>
          <w:bdr w:val="none" w:sz="0" w:space="0" w:color="auto" w:frame="1"/>
        </w:rPr>
        <w:t>-1/P/CIR/2023</w:t>
      </w:r>
      <w:r w:rsidR="00057FB9">
        <w:rPr>
          <w:rFonts w:ascii="Century Gothic" w:eastAsia="Times New Roman" w:hAnsi="Century Gothic" w:cs="Calibri"/>
          <w:color w:val="000000"/>
          <w:sz w:val="20"/>
          <w:szCs w:val="20"/>
          <w:bdr w:val="none" w:sz="0" w:space="0" w:color="auto" w:frame="1"/>
        </w:rPr>
        <w:t>/37 dated March 16, 2023 and SEBI/HO/MIRSD/POD-1</w:t>
      </w:r>
      <w:r w:rsidR="00AA40A5">
        <w:rPr>
          <w:rFonts w:ascii="Century Gothic" w:eastAsia="Times New Roman" w:hAnsi="Century Gothic" w:cs="Calibri"/>
          <w:color w:val="000000"/>
          <w:sz w:val="20"/>
          <w:szCs w:val="20"/>
          <w:bdr w:val="none" w:sz="0" w:space="0" w:color="auto" w:frame="1"/>
        </w:rPr>
        <w:t xml:space="preserve">/P/CIR/2023/181 Dated November 17, 2023) has mandated that with effect from April 1, 2024, dividend to security holders (holding securities in physical form), shall be paid only </w:t>
      </w:r>
      <w:r w:rsidR="00B94D60">
        <w:rPr>
          <w:rFonts w:ascii="Century Gothic" w:eastAsia="Times New Roman" w:hAnsi="Century Gothic" w:cs="Calibri"/>
          <w:color w:val="000000"/>
          <w:sz w:val="20"/>
          <w:szCs w:val="20"/>
          <w:bdr w:val="none" w:sz="0" w:space="0" w:color="auto" w:frame="1"/>
        </w:rPr>
        <w:t xml:space="preserve">through electronic mode. Such payment shall be made only after furnishing the PAN, </w:t>
      </w:r>
      <w:r w:rsidR="00E73656">
        <w:rPr>
          <w:rFonts w:ascii="Century Gothic" w:eastAsia="Times New Roman" w:hAnsi="Century Gothic" w:cs="Calibri"/>
          <w:color w:val="000000"/>
          <w:sz w:val="20"/>
          <w:szCs w:val="20"/>
          <w:bdr w:val="none" w:sz="0" w:space="0" w:color="auto" w:frame="1"/>
        </w:rPr>
        <w:t xml:space="preserve">choice of nomination, contact details including mobile number, </w:t>
      </w:r>
      <w:r w:rsidR="00E228E3">
        <w:rPr>
          <w:rFonts w:ascii="Century Gothic" w:eastAsia="Times New Roman" w:hAnsi="Century Gothic" w:cs="Calibri"/>
          <w:color w:val="000000"/>
          <w:sz w:val="20"/>
          <w:szCs w:val="20"/>
          <w:bdr w:val="none" w:sz="0" w:space="0" w:color="auto" w:frame="1"/>
        </w:rPr>
        <w:t>bank account details and specimen signature.</w:t>
      </w:r>
      <w:r w:rsidR="0049305F">
        <w:rPr>
          <w:rFonts w:ascii="Century Gothic" w:eastAsia="Times New Roman" w:hAnsi="Century Gothic" w:cs="Calibri"/>
          <w:color w:val="000000"/>
          <w:sz w:val="20"/>
          <w:szCs w:val="20"/>
          <w:bdr w:val="none" w:sz="0" w:space="0" w:color="auto" w:frame="1"/>
        </w:rPr>
        <w:t xml:space="preserve"> Accordingly, shareholders holding shares in physical f</w:t>
      </w:r>
      <w:r w:rsidR="00C9261D">
        <w:rPr>
          <w:rFonts w:ascii="Century Gothic" w:eastAsia="Times New Roman" w:hAnsi="Century Gothic" w:cs="Calibri"/>
          <w:color w:val="000000"/>
          <w:sz w:val="20"/>
          <w:szCs w:val="20"/>
          <w:bdr w:val="none" w:sz="0" w:space="0" w:color="auto" w:frame="1"/>
        </w:rPr>
        <w:t>orm</w:t>
      </w:r>
      <w:r w:rsidR="0049305F">
        <w:rPr>
          <w:rFonts w:ascii="Century Gothic" w:eastAsia="Times New Roman" w:hAnsi="Century Gothic" w:cs="Calibri"/>
          <w:color w:val="000000"/>
          <w:sz w:val="20"/>
          <w:szCs w:val="20"/>
          <w:bdr w:val="none" w:sz="0" w:space="0" w:color="auto" w:frame="1"/>
        </w:rPr>
        <w:t xml:space="preserve"> are requested to </w:t>
      </w:r>
      <w:r w:rsidR="00C87459">
        <w:rPr>
          <w:rFonts w:ascii="Century Gothic" w:eastAsia="Times New Roman" w:hAnsi="Century Gothic" w:cs="Calibri"/>
          <w:color w:val="000000"/>
          <w:sz w:val="20"/>
          <w:szCs w:val="20"/>
          <w:bdr w:val="none" w:sz="0" w:space="0" w:color="auto" w:frame="1"/>
        </w:rPr>
        <w:t xml:space="preserve">furnish </w:t>
      </w:r>
      <w:r w:rsidR="00E65517">
        <w:rPr>
          <w:rFonts w:ascii="Century Gothic" w:eastAsia="Times New Roman" w:hAnsi="Century Gothic" w:cs="Calibri"/>
          <w:color w:val="000000"/>
          <w:sz w:val="20"/>
          <w:szCs w:val="20"/>
          <w:bdr w:val="none" w:sz="0" w:space="0" w:color="auto" w:frame="1"/>
        </w:rPr>
        <w:t>the aforesaid</w:t>
      </w:r>
      <w:r w:rsidR="00C87459">
        <w:rPr>
          <w:rFonts w:ascii="Century Gothic" w:eastAsia="Times New Roman" w:hAnsi="Century Gothic" w:cs="Calibri"/>
          <w:color w:val="000000"/>
          <w:sz w:val="20"/>
          <w:szCs w:val="20"/>
          <w:bdr w:val="none" w:sz="0" w:space="0" w:color="auto" w:frame="1"/>
        </w:rPr>
        <w:t xml:space="preserve"> documents/information</w:t>
      </w:r>
      <w:r w:rsidR="00957C68">
        <w:rPr>
          <w:rFonts w:ascii="Century Gothic" w:eastAsia="Times New Roman" w:hAnsi="Century Gothic" w:cs="Calibri"/>
          <w:color w:val="000000"/>
          <w:sz w:val="20"/>
          <w:szCs w:val="20"/>
          <w:bdr w:val="none" w:sz="0" w:space="0" w:color="auto" w:frame="1"/>
        </w:rPr>
        <w:t xml:space="preserve">, if not already </w:t>
      </w:r>
      <w:r w:rsidR="001D7998">
        <w:rPr>
          <w:rFonts w:ascii="Century Gothic" w:eastAsia="Times New Roman" w:hAnsi="Century Gothic" w:cs="Calibri"/>
          <w:color w:val="000000"/>
          <w:sz w:val="20"/>
          <w:szCs w:val="20"/>
          <w:bdr w:val="none" w:sz="0" w:space="0" w:color="auto" w:frame="1"/>
        </w:rPr>
        <w:t>furnished,</w:t>
      </w:r>
      <w:r w:rsidR="00C87459">
        <w:rPr>
          <w:rFonts w:ascii="Century Gothic" w:eastAsia="Times New Roman" w:hAnsi="Century Gothic" w:cs="Calibri"/>
          <w:color w:val="000000"/>
          <w:sz w:val="20"/>
          <w:szCs w:val="20"/>
          <w:bdr w:val="none" w:sz="0" w:space="0" w:color="auto" w:frame="1"/>
        </w:rPr>
        <w:t xml:space="preserve"> to</w:t>
      </w:r>
      <w:r w:rsidR="001D7998">
        <w:rPr>
          <w:rFonts w:ascii="Century Gothic" w:eastAsia="Times New Roman" w:hAnsi="Century Gothic" w:cs="Calibri"/>
          <w:color w:val="000000"/>
          <w:sz w:val="20"/>
          <w:szCs w:val="20"/>
          <w:bdr w:val="none" w:sz="0" w:space="0" w:color="auto" w:frame="1"/>
        </w:rPr>
        <w:t xml:space="preserve"> </w:t>
      </w:r>
      <w:r w:rsidR="00444DF7">
        <w:rPr>
          <w:rFonts w:ascii="Century Gothic" w:eastAsia="Times New Roman" w:hAnsi="Century Gothic" w:cs="Calibri"/>
          <w:color w:val="000000"/>
          <w:sz w:val="20"/>
          <w:szCs w:val="20"/>
          <w:bdr w:val="none" w:sz="0" w:space="0" w:color="auto" w:frame="1"/>
        </w:rPr>
        <w:t xml:space="preserve">received </w:t>
      </w:r>
      <w:r w:rsidR="001D7998">
        <w:rPr>
          <w:rFonts w:ascii="Century Gothic" w:eastAsia="Times New Roman" w:hAnsi="Century Gothic" w:cs="Calibri"/>
          <w:color w:val="000000"/>
          <w:sz w:val="20"/>
          <w:szCs w:val="20"/>
          <w:bdr w:val="none" w:sz="0" w:space="0" w:color="auto" w:frame="1"/>
        </w:rPr>
        <w:t xml:space="preserve">credit of dividend in their </w:t>
      </w:r>
      <w:r w:rsidR="00444DF7">
        <w:rPr>
          <w:rFonts w:ascii="Century Gothic" w:eastAsia="Times New Roman" w:hAnsi="Century Gothic" w:cs="Calibri"/>
          <w:color w:val="000000"/>
          <w:sz w:val="20"/>
          <w:szCs w:val="20"/>
          <w:bdr w:val="none" w:sz="0" w:space="0" w:color="auto" w:frame="1"/>
        </w:rPr>
        <w:t>b</w:t>
      </w:r>
      <w:r w:rsidR="001D7998">
        <w:rPr>
          <w:rFonts w:ascii="Century Gothic" w:eastAsia="Times New Roman" w:hAnsi="Century Gothic" w:cs="Calibri"/>
          <w:color w:val="000000"/>
          <w:sz w:val="20"/>
          <w:szCs w:val="20"/>
          <w:bdr w:val="none" w:sz="0" w:space="0" w:color="auto" w:frame="1"/>
        </w:rPr>
        <w:t>ank account</w:t>
      </w:r>
      <w:r w:rsidR="005458D6">
        <w:rPr>
          <w:rFonts w:ascii="Century Gothic" w:eastAsia="Times New Roman" w:hAnsi="Century Gothic" w:cs="Calibri"/>
          <w:color w:val="000000"/>
          <w:sz w:val="20"/>
          <w:szCs w:val="20"/>
          <w:bdr w:val="none" w:sz="0" w:space="0" w:color="auto" w:frame="1"/>
        </w:rPr>
        <w:t>.</w:t>
      </w:r>
      <w:r w:rsidR="00C87459">
        <w:rPr>
          <w:rFonts w:ascii="Century Gothic" w:eastAsia="Times New Roman" w:hAnsi="Century Gothic" w:cs="Calibri"/>
          <w:color w:val="000000"/>
          <w:sz w:val="20"/>
          <w:szCs w:val="20"/>
          <w:bdr w:val="none" w:sz="0" w:space="0" w:color="auto" w:frame="1"/>
        </w:rPr>
        <w:t xml:space="preserve"> </w:t>
      </w:r>
    </w:p>
    <w:p w14:paraId="08CB1BE6" w14:textId="77777777" w:rsidR="00E44A12" w:rsidRDefault="00E44A12" w:rsidP="005D5822">
      <w:pPr>
        <w:shd w:val="clear" w:color="auto" w:fill="FFFFFF"/>
        <w:spacing w:after="0" w:line="240" w:lineRule="auto"/>
        <w:jc w:val="both"/>
        <w:rPr>
          <w:rFonts w:ascii="Century Gothic" w:eastAsia="Times New Roman" w:hAnsi="Century Gothic" w:cs="Calibri"/>
          <w:color w:val="000000"/>
          <w:sz w:val="20"/>
          <w:szCs w:val="20"/>
          <w:bdr w:val="none" w:sz="0" w:space="0" w:color="auto" w:frame="1"/>
        </w:rPr>
      </w:pPr>
    </w:p>
    <w:p w14:paraId="2771B9A3" w14:textId="6AF9B614" w:rsidR="005D5822" w:rsidRPr="00620602" w:rsidRDefault="00834DD6"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rPr>
      </w:pPr>
      <w:r w:rsidRPr="00620602">
        <w:rPr>
          <w:rFonts w:ascii="Century Gothic" w:eastAsia="Times New Roman" w:hAnsi="Century Gothic" w:cs="Calibri"/>
          <w:color w:val="000000"/>
          <w:sz w:val="20"/>
          <w:szCs w:val="20"/>
          <w:bdr w:val="none" w:sz="0" w:space="0" w:color="auto" w:frame="1"/>
        </w:rPr>
        <w:t>We request your cooperation in this regard.</w:t>
      </w:r>
      <w:r w:rsidR="005D5822" w:rsidRPr="00620602">
        <w:rPr>
          <w:rFonts w:ascii="Century Gothic" w:eastAsia="Times New Roman" w:hAnsi="Century Gothic" w:cs="Calibri"/>
          <w:color w:val="201F1E"/>
          <w:sz w:val="20"/>
          <w:szCs w:val="20"/>
          <w:bdr w:val="none" w:sz="0" w:space="0" w:color="auto" w:frame="1"/>
        </w:rPr>
        <w:t> </w:t>
      </w:r>
    </w:p>
    <w:p w14:paraId="3FEBCC7B" w14:textId="77777777" w:rsidR="00834DD6" w:rsidRPr="00620602" w:rsidRDefault="00834DD6" w:rsidP="005D5822">
      <w:pPr>
        <w:shd w:val="clear" w:color="auto" w:fill="FFFFFF"/>
        <w:spacing w:after="0" w:line="240" w:lineRule="auto"/>
        <w:jc w:val="both"/>
        <w:rPr>
          <w:rFonts w:ascii="Century Gothic" w:eastAsia="Times New Roman" w:hAnsi="Century Gothic" w:cs="Segoe UI"/>
          <w:color w:val="201F1E"/>
          <w:sz w:val="20"/>
          <w:szCs w:val="20"/>
        </w:rPr>
      </w:pPr>
    </w:p>
    <w:p w14:paraId="50EB5FA8"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201F1E"/>
          <w:sz w:val="20"/>
          <w:szCs w:val="20"/>
          <w:bdr w:val="none" w:sz="0" w:space="0" w:color="auto" w:frame="1"/>
        </w:rPr>
        <w:t>Yours sincerely,</w:t>
      </w:r>
    </w:p>
    <w:p w14:paraId="70C187C5"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For</w:t>
      </w:r>
      <w:r w:rsidRPr="00620602">
        <w:rPr>
          <w:rFonts w:ascii="Century Gothic" w:eastAsia="Times New Roman" w:hAnsi="Century Gothic" w:cs="Calibri"/>
          <w:color w:val="201F1E"/>
          <w:sz w:val="20"/>
          <w:szCs w:val="20"/>
          <w:bdr w:val="none" w:sz="0" w:space="0" w:color="auto" w:frame="1"/>
        </w:rPr>
        <w:t> </w:t>
      </w:r>
      <w:r w:rsidRPr="00620602">
        <w:rPr>
          <w:rFonts w:ascii="Century Gothic" w:eastAsia="Times New Roman" w:hAnsi="Century Gothic" w:cs="Calibri"/>
          <w:b/>
          <w:bCs/>
          <w:color w:val="201F1E"/>
          <w:sz w:val="20"/>
          <w:szCs w:val="20"/>
          <w:bdr w:val="none" w:sz="0" w:space="0" w:color="auto" w:frame="1"/>
        </w:rPr>
        <w:t>LUPIN LIMIITED</w:t>
      </w:r>
    </w:p>
    <w:p w14:paraId="4B82854E" w14:textId="5C92D687" w:rsidR="005D5822" w:rsidRPr="00620602" w:rsidRDefault="005D5822"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rPr>
      </w:pPr>
      <w:r w:rsidRPr="00620602">
        <w:rPr>
          <w:rFonts w:ascii="Century Gothic" w:eastAsia="Times New Roman" w:hAnsi="Century Gothic" w:cs="Calibri"/>
          <w:color w:val="201F1E"/>
          <w:sz w:val="20"/>
          <w:szCs w:val="20"/>
          <w:bdr w:val="none" w:sz="0" w:space="0" w:color="auto" w:frame="1"/>
        </w:rPr>
        <w:t> </w:t>
      </w:r>
    </w:p>
    <w:p w14:paraId="083CE28C" w14:textId="22F5742E" w:rsidR="000B632E" w:rsidRPr="00620602" w:rsidRDefault="000B632E" w:rsidP="005D5822">
      <w:pPr>
        <w:shd w:val="clear" w:color="auto" w:fill="FFFFFF"/>
        <w:spacing w:after="0" w:line="240" w:lineRule="auto"/>
        <w:jc w:val="both"/>
        <w:rPr>
          <w:rFonts w:ascii="Century Gothic" w:eastAsia="Times New Roman" w:hAnsi="Century Gothic" w:cs="Calibri"/>
          <w:color w:val="201F1E"/>
          <w:sz w:val="20"/>
          <w:szCs w:val="20"/>
          <w:bdr w:val="none" w:sz="0" w:space="0" w:color="auto" w:frame="1"/>
        </w:rPr>
      </w:pPr>
    </w:p>
    <w:p w14:paraId="3D76D8F6" w14:textId="77777777" w:rsidR="000B632E" w:rsidRPr="00620602" w:rsidRDefault="000B632E" w:rsidP="005D5822">
      <w:pPr>
        <w:shd w:val="clear" w:color="auto" w:fill="FFFFFF"/>
        <w:spacing w:after="0" w:line="240" w:lineRule="auto"/>
        <w:jc w:val="both"/>
        <w:rPr>
          <w:rFonts w:ascii="Century Gothic" w:eastAsia="Times New Roman" w:hAnsi="Century Gothic" w:cs="Segoe UI"/>
          <w:color w:val="201F1E"/>
          <w:sz w:val="20"/>
          <w:szCs w:val="20"/>
        </w:rPr>
      </w:pPr>
    </w:p>
    <w:p w14:paraId="6940DB2C"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R. V. SATAM</w:t>
      </w:r>
    </w:p>
    <w:p w14:paraId="78251F04"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COMPANY SECRETARY</w:t>
      </w:r>
    </w:p>
    <w:p w14:paraId="4323DC35"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color w:val="201F1E"/>
          <w:sz w:val="20"/>
          <w:szCs w:val="20"/>
          <w:bdr w:val="none" w:sz="0" w:space="0" w:color="auto" w:frame="1"/>
        </w:rPr>
        <w:t>(ACS - 11973)</w:t>
      </w:r>
    </w:p>
    <w:p w14:paraId="51C3AB8E"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i/>
          <w:iCs/>
          <w:color w:val="323130"/>
          <w:sz w:val="20"/>
          <w:szCs w:val="20"/>
          <w:bdr w:val="none" w:sz="0" w:space="0" w:color="auto" w:frame="1"/>
          <w:lang w:val="en-IN"/>
        </w:rPr>
        <w:t> </w:t>
      </w:r>
    </w:p>
    <w:p w14:paraId="5A99394E" w14:textId="0EB7831A"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i/>
          <w:iCs/>
          <w:color w:val="323130"/>
          <w:sz w:val="20"/>
          <w:szCs w:val="20"/>
          <w:bdr w:val="none" w:sz="0" w:space="0" w:color="auto" w:frame="1"/>
          <w:lang w:val="en-IN"/>
        </w:rPr>
        <w:t>Disclaimer:</w:t>
      </w:r>
      <w:r w:rsidRPr="00620602">
        <w:rPr>
          <w:rFonts w:ascii="Century Gothic" w:eastAsia="Times New Roman" w:hAnsi="Century Gothic" w:cs="Calibri"/>
          <w:i/>
          <w:iCs/>
          <w:color w:val="323130"/>
          <w:sz w:val="20"/>
          <w:szCs w:val="20"/>
          <w:bdr w:val="none" w:sz="0" w:space="0" w:color="auto" w:frame="1"/>
          <w:lang w:val="en-IN"/>
        </w:rPr>
        <w:t xml:space="preserve"> This communication shall not be considered as an advice from the </w:t>
      </w:r>
      <w:r w:rsidR="002061FF" w:rsidRPr="00620602">
        <w:rPr>
          <w:rFonts w:ascii="Century Gothic" w:eastAsia="Times New Roman" w:hAnsi="Century Gothic" w:cs="Calibri"/>
          <w:i/>
          <w:iCs/>
          <w:color w:val="323130"/>
          <w:sz w:val="20"/>
          <w:szCs w:val="20"/>
          <w:bdr w:val="none" w:sz="0" w:space="0" w:color="auto" w:frame="1"/>
          <w:lang w:val="en-IN"/>
        </w:rPr>
        <w:t>Company,</w:t>
      </w:r>
      <w:r w:rsidRPr="00620602">
        <w:rPr>
          <w:rFonts w:ascii="Century Gothic" w:eastAsia="Times New Roman" w:hAnsi="Century Gothic" w:cs="Calibri"/>
          <w:i/>
          <w:iCs/>
          <w:color w:val="323130"/>
          <w:sz w:val="20"/>
          <w:szCs w:val="20"/>
          <w:bdr w:val="none" w:sz="0" w:space="0" w:color="auto" w:frame="1"/>
          <w:lang w:val="en-IN"/>
        </w:rPr>
        <w:t xml:space="preserve"> or its Registrar &amp; Transfer Agent and that Shareholders should obtain tax related advice from tax professionals.</w:t>
      </w:r>
    </w:p>
    <w:p w14:paraId="4338538E"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color w:val="323130"/>
          <w:sz w:val="20"/>
          <w:szCs w:val="20"/>
          <w:bdr w:val="none" w:sz="0" w:space="0" w:color="auto" w:frame="1"/>
        </w:rPr>
        <w:t> </w:t>
      </w:r>
    </w:p>
    <w:p w14:paraId="62EA4FD7" w14:textId="77777777" w:rsidR="005D5822" w:rsidRPr="00620602" w:rsidRDefault="005D5822" w:rsidP="005D5822">
      <w:pPr>
        <w:shd w:val="clear" w:color="auto" w:fill="FFFFFF"/>
        <w:spacing w:after="0" w:line="240" w:lineRule="auto"/>
        <w:jc w:val="both"/>
        <w:rPr>
          <w:rFonts w:ascii="Century Gothic" w:eastAsia="Times New Roman" w:hAnsi="Century Gothic" w:cs="Segoe UI"/>
          <w:color w:val="201F1E"/>
          <w:sz w:val="20"/>
          <w:szCs w:val="20"/>
        </w:rPr>
      </w:pPr>
      <w:r w:rsidRPr="00620602">
        <w:rPr>
          <w:rFonts w:ascii="Century Gothic" w:eastAsia="Times New Roman" w:hAnsi="Century Gothic" w:cs="Calibri"/>
          <w:b/>
          <w:bCs/>
          <w:i/>
          <w:iCs/>
          <w:color w:val="323130"/>
          <w:sz w:val="20"/>
          <w:szCs w:val="20"/>
          <w:bdr w:val="none" w:sz="0" w:space="0" w:color="auto" w:frame="1"/>
        </w:rPr>
        <w:t>Note: This is a system generated e-mail. Please do not reply to the same.</w:t>
      </w:r>
    </w:p>
    <w:p w14:paraId="7938CE56" w14:textId="4A686026" w:rsidR="005D5822" w:rsidRPr="00620602" w:rsidRDefault="005D5822" w:rsidP="00BC192C">
      <w:pPr>
        <w:shd w:val="clear" w:color="auto" w:fill="FFFFFF"/>
        <w:spacing w:after="0" w:line="240" w:lineRule="auto"/>
        <w:jc w:val="both"/>
        <w:rPr>
          <w:rFonts w:ascii="Segoe UI" w:eastAsia="Times New Roman" w:hAnsi="Segoe UI" w:cs="Segoe UI"/>
          <w:color w:val="201F1E"/>
        </w:rPr>
      </w:pPr>
      <w:r w:rsidRPr="00620602">
        <w:rPr>
          <w:rFonts w:ascii="Century Gothic" w:eastAsia="Times New Roman" w:hAnsi="Century Gothic" w:cs="Segoe UI"/>
          <w:color w:val="201F1E"/>
        </w:rPr>
        <w:t> </w:t>
      </w:r>
    </w:p>
    <w:p w14:paraId="41A0DD75" w14:textId="77777777" w:rsidR="00BB2B5D" w:rsidRPr="00620602" w:rsidRDefault="00BB2B5D">
      <w:pPr>
        <w:rPr>
          <w:sz w:val="20"/>
          <w:szCs w:val="20"/>
        </w:rPr>
      </w:pPr>
    </w:p>
    <w:sectPr w:rsidR="00BB2B5D" w:rsidRPr="00620602" w:rsidSect="000B632E">
      <w:pgSz w:w="11907" w:h="16839"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602C" w14:textId="77777777" w:rsidR="00423E0F" w:rsidRDefault="00423E0F" w:rsidP="00B70866">
      <w:pPr>
        <w:spacing w:after="0" w:line="240" w:lineRule="auto"/>
      </w:pPr>
      <w:r>
        <w:separator/>
      </w:r>
    </w:p>
  </w:endnote>
  <w:endnote w:type="continuationSeparator" w:id="0">
    <w:p w14:paraId="02C34F41" w14:textId="77777777" w:rsidR="00423E0F" w:rsidRDefault="00423E0F" w:rsidP="00B7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8BD2" w14:textId="77777777" w:rsidR="00423E0F" w:rsidRDefault="00423E0F" w:rsidP="00B70866">
      <w:pPr>
        <w:spacing w:after="0" w:line="240" w:lineRule="auto"/>
      </w:pPr>
      <w:r>
        <w:separator/>
      </w:r>
    </w:p>
  </w:footnote>
  <w:footnote w:type="continuationSeparator" w:id="0">
    <w:p w14:paraId="30DBEFB8" w14:textId="77777777" w:rsidR="00423E0F" w:rsidRDefault="00423E0F" w:rsidP="00B70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8A"/>
    <w:multiLevelType w:val="hybridMultilevel"/>
    <w:tmpl w:val="B4FCD644"/>
    <w:lvl w:ilvl="0" w:tplc="D37CF1B8">
      <w:start w:val="1"/>
      <w:numFmt w:val="low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A7751"/>
    <w:multiLevelType w:val="hybridMultilevel"/>
    <w:tmpl w:val="2E34DAA2"/>
    <w:lvl w:ilvl="0" w:tplc="DBCCA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D642C"/>
    <w:multiLevelType w:val="hybridMultilevel"/>
    <w:tmpl w:val="CFD8221C"/>
    <w:lvl w:ilvl="0" w:tplc="F4E21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05FD1"/>
    <w:multiLevelType w:val="hybridMultilevel"/>
    <w:tmpl w:val="1FFE9692"/>
    <w:lvl w:ilvl="0" w:tplc="FDAEB3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E498C"/>
    <w:multiLevelType w:val="hybridMultilevel"/>
    <w:tmpl w:val="51FEFE38"/>
    <w:lvl w:ilvl="0" w:tplc="1C56822C">
      <w:start w:val="1"/>
      <w:numFmt w:val="decimal"/>
      <w:lvlText w:val="%1."/>
      <w:lvlJc w:val="left"/>
      <w:pPr>
        <w:ind w:left="720" w:hanging="360"/>
      </w:pPr>
      <w:rPr>
        <w:rFonts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66CC8"/>
    <w:multiLevelType w:val="hybridMultilevel"/>
    <w:tmpl w:val="016276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331C7"/>
    <w:multiLevelType w:val="hybridMultilevel"/>
    <w:tmpl w:val="D4BE334C"/>
    <w:lvl w:ilvl="0" w:tplc="F4E21DC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711DA3"/>
    <w:multiLevelType w:val="hybridMultilevel"/>
    <w:tmpl w:val="4E0C8C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202EC5"/>
    <w:multiLevelType w:val="hybridMultilevel"/>
    <w:tmpl w:val="CC9AE24C"/>
    <w:lvl w:ilvl="0" w:tplc="F4E21D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A650D"/>
    <w:multiLevelType w:val="hybridMultilevel"/>
    <w:tmpl w:val="B0F64EA2"/>
    <w:lvl w:ilvl="0" w:tplc="F2B004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6"/>
  </w:num>
  <w:num w:numId="6">
    <w:abstractNumId w:val="8"/>
  </w:num>
  <w:num w:numId="7">
    <w:abstractNumId w:val="0"/>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22"/>
    <w:rsid w:val="00005FB8"/>
    <w:rsid w:val="00012141"/>
    <w:rsid w:val="0002158D"/>
    <w:rsid w:val="000241F3"/>
    <w:rsid w:val="00034CCF"/>
    <w:rsid w:val="00047C33"/>
    <w:rsid w:val="00057FB9"/>
    <w:rsid w:val="00061F42"/>
    <w:rsid w:val="000668B0"/>
    <w:rsid w:val="00073228"/>
    <w:rsid w:val="00074A3E"/>
    <w:rsid w:val="000917DD"/>
    <w:rsid w:val="00097FEB"/>
    <w:rsid w:val="000A6342"/>
    <w:rsid w:val="000B632E"/>
    <w:rsid w:val="000C0893"/>
    <w:rsid w:val="000D3A1F"/>
    <w:rsid w:val="000F379F"/>
    <w:rsid w:val="001026AE"/>
    <w:rsid w:val="00103B44"/>
    <w:rsid w:val="00133E87"/>
    <w:rsid w:val="001559EA"/>
    <w:rsid w:val="00161850"/>
    <w:rsid w:val="00166527"/>
    <w:rsid w:val="0018618D"/>
    <w:rsid w:val="00187BB4"/>
    <w:rsid w:val="001A5AC1"/>
    <w:rsid w:val="001A679D"/>
    <w:rsid w:val="001B58D9"/>
    <w:rsid w:val="001D3A83"/>
    <w:rsid w:val="001D7998"/>
    <w:rsid w:val="001E7DA1"/>
    <w:rsid w:val="00200194"/>
    <w:rsid w:val="002061FF"/>
    <w:rsid w:val="00212A5A"/>
    <w:rsid w:val="00213C7C"/>
    <w:rsid w:val="00215EB9"/>
    <w:rsid w:val="002175A2"/>
    <w:rsid w:val="002216C6"/>
    <w:rsid w:val="0022551A"/>
    <w:rsid w:val="00226F26"/>
    <w:rsid w:val="002334EC"/>
    <w:rsid w:val="00251ADB"/>
    <w:rsid w:val="00252995"/>
    <w:rsid w:val="00254995"/>
    <w:rsid w:val="002579F5"/>
    <w:rsid w:val="00285A8F"/>
    <w:rsid w:val="002A026F"/>
    <w:rsid w:val="002B1390"/>
    <w:rsid w:val="002B52B2"/>
    <w:rsid w:val="002C206E"/>
    <w:rsid w:val="002C6EA3"/>
    <w:rsid w:val="002C7216"/>
    <w:rsid w:val="002D5B0B"/>
    <w:rsid w:val="002E06C5"/>
    <w:rsid w:val="002E0C35"/>
    <w:rsid w:val="002E7232"/>
    <w:rsid w:val="002F7BCA"/>
    <w:rsid w:val="00320D2F"/>
    <w:rsid w:val="00334D3A"/>
    <w:rsid w:val="0035107B"/>
    <w:rsid w:val="00377911"/>
    <w:rsid w:val="0038604F"/>
    <w:rsid w:val="003973CF"/>
    <w:rsid w:val="003B0775"/>
    <w:rsid w:val="003D4A7C"/>
    <w:rsid w:val="003D6DC7"/>
    <w:rsid w:val="003D76CA"/>
    <w:rsid w:val="003E012C"/>
    <w:rsid w:val="003E19EE"/>
    <w:rsid w:val="003E6AE5"/>
    <w:rsid w:val="00402143"/>
    <w:rsid w:val="0040392C"/>
    <w:rsid w:val="00423E0F"/>
    <w:rsid w:val="00434441"/>
    <w:rsid w:val="004377EB"/>
    <w:rsid w:val="00444DF7"/>
    <w:rsid w:val="0044668A"/>
    <w:rsid w:val="00465735"/>
    <w:rsid w:val="00482244"/>
    <w:rsid w:val="00486424"/>
    <w:rsid w:val="0049305F"/>
    <w:rsid w:val="0049418D"/>
    <w:rsid w:val="00495AC7"/>
    <w:rsid w:val="004A415E"/>
    <w:rsid w:val="004B5A67"/>
    <w:rsid w:val="004C0B65"/>
    <w:rsid w:val="004E401D"/>
    <w:rsid w:val="004F15D1"/>
    <w:rsid w:val="005128D5"/>
    <w:rsid w:val="00512B8B"/>
    <w:rsid w:val="0051476F"/>
    <w:rsid w:val="0051527D"/>
    <w:rsid w:val="00521914"/>
    <w:rsid w:val="005254CA"/>
    <w:rsid w:val="00540687"/>
    <w:rsid w:val="005458D6"/>
    <w:rsid w:val="005619EF"/>
    <w:rsid w:val="00582D29"/>
    <w:rsid w:val="0058392B"/>
    <w:rsid w:val="00585786"/>
    <w:rsid w:val="0058723D"/>
    <w:rsid w:val="00595B87"/>
    <w:rsid w:val="005A777B"/>
    <w:rsid w:val="005D2190"/>
    <w:rsid w:val="005D3809"/>
    <w:rsid w:val="005D5822"/>
    <w:rsid w:val="005D597A"/>
    <w:rsid w:val="005E7008"/>
    <w:rsid w:val="005F09FB"/>
    <w:rsid w:val="005F3C48"/>
    <w:rsid w:val="005F552A"/>
    <w:rsid w:val="006020B1"/>
    <w:rsid w:val="0061015B"/>
    <w:rsid w:val="00620602"/>
    <w:rsid w:val="00630D43"/>
    <w:rsid w:val="006357F4"/>
    <w:rsid w:val="0063751C"/>
    <w:rsid w:val="00663527"/>
    <w:rsid w:val="006753C0"/>
    <w:rsid w:val="00695DC3"/>
    <w:rsid w:val="006A3425"/>
    <w:rsid w:val="006A58D8"/>
    <w:rsid w:val="006A73DE"/>
    <w:rsid w:val="006A77F1"/>
    <w:rsid w:val="006C1649"/>
    <w:rsid w:val="006C43BA"/>
    <w:rsid w:val="006D583E"/>
    <w:rsid w:val="006E09E3"/>
    <w:rsid w:val="006E2143"/>
    <w:rsid w:val="006F137B"/>
    <w:rsid w:val="00703FFC"/>
    <w:rsid w:val="00714B0C"/>
    <w:rsid w:val="00721283"/>
    <w:rsid w:val="00745CB2"/>
    <w:rsid w:val="00745D3E"/>
    <w:rsid w:val="00746753"/>
    <w:rsid w:val="007617AE"/>
    <w:rsid w:val="007622A3"/>
    <w:rsid w:val="0077439D"/>
    <w:rsid w:val="007916B7"/>
    <w:rsid w:val="0079588C"/>
    <w:rsid w:val="007A6538"/>
    <w:rsid w:val="007C0740"/>
    <w:rsid w:val="007C3AE6"/>
    <w:rsid w:val="007C56E7"/>
    <w:rsid w:val="007C6AA3"/>
    <w:rsid w:val="007D4FFD"/>
    <w:rsid w:val="007F3F99"/>
    <w:rsid w:val="007F4C38"/>
    <w:rsid w:val="007F6196"/>
    <w:rsid w:val="007F6C6E"/>
    <w:rsid w:val="00812A45"/>
    <w:rsid w:val="0081449C"/>
    <w:rsid w:val="00834DD6"/>
    <w:rsid w:val="008463B4"/>
    <w:rsid w:val="00847C08"/>
    <w:rsid w:val="00856E82"/>
    <w:rsid w:val="00860D89"/>
    <w:rsid w:val="0086115E"/>
    <w:rsid w:val="00861551"/>
    <w:rsid w:val="00866A90"/>
    <w:rsid w:val="00882DE5"/>
    <w:rsid w:val="008953A9"/>
    <w:rsid w:val="00897A38"/>
    <w:rsid w:val="008A695F"/>
    <w:rsid w:val="008B4B28"/>
    <w:rsid w:val="008C2625"/>
    <w:rsid w:val="008C733E"/>
    <w:rsid w:val="008E2811"/>
    <w:rsid w:val="008E64ED"/>
    <w:rsid w:val="008E741C"/>
    <w:rsid w:val="008F3ADB"/>
    <w:rsid w:val="0090294D"/>
    <w:rsid w:val="00903F58"/>
    <w:rsid w:val="0090775E"/>
    <w:rsid w:val="00910684"/>
    <w:rsid w:val="00915F88"/>
    <w:rsid w:val="00915FA2"/>
    <w:rsid w:val="00934FC9"/>
    <w:rsid w:val="00943DBA"/>
    <w:rsid w:val="0095219D"/>
    <w:rsid w:val="00952D0F"/>
    <w:rsid w:val="00957C68"/>
    <w:rsid w:val="00966808"/>
    <w:rsid w:val="00980592"/>
    <w:rsid w:val="00985AE5"/>
    <w:rsid w:val="009A188C"/>
    <w:rsid w:val="009A6292"/>
    <w:rsid w:val="009B61B1"/>
    <w:rsid w:val="009B7913"/>
    <w:rsid w:val="009C21DB"/>
    <w:rsid w:val="009D21D0"/>
    <w:rsid w:val="009D7961"/>
    <w:rsid w:val="009F1CD7"/>
    <w:rsid w:val="00A01B3E"/>
    <w:rsid w:val="00A05AE2"/>
    <w:rsid w:val="00A06754"/>
    <w:rsid w:val="00A1346F"/>
    <w:rsid w:val="00A13F75"/>
    <w:rsid w:val="00A14454"/>
    <w:rsid w:val="00A14D61"/>
    <w:rsid w:val="00A46C56"/>
    <w:rsid w:val="00A61AEA"/>
    <w:rsid w:val="00A925C4"/>
    <w:rsid w:val="00A95FBF"/>
    <w:rsid w:val="00A97EB1"/>
    <w:rsid w:val="00AA40A5"/>
    <w:rsid w:val="00AA584D"/>
    <w:rsid w:val="00AB0D7E"/>
    <w:rsid w:val="00AB49E8"/>
    <w:rsid w:val="00AB4B55"/>
    <w:rsid w:val="00AB4F1F"/>
    <w:rsid w:val="00AB5640"/>
    <w:rsid w:val="00AC0A20"/>
    <w:rsid w:val="00AD4F22"/>
    <w:rsid w:val="00AF10EB"/>
    <w:rsid w:val="00B06D61"/>
    <w:rsid w:val="00B1153D"/>
    <w:rsid w:val="00B166A7"/>
    <w:rsid w:val="00B26CD5"/>
    <w:rsid w:val="00B27FAD"/>
    <w:rsid w:val="00B36554"/>
    <w:rsid w:val="00B411C3"/>
    <w:rsid w:val="00B559F9"/>
    <w:rsid w:val="00B70866"/>
    <w:rsid w:val="00B72A56"/>
    <w:rsid w:val="00B7734E"/>
    <w:rsid w:val="00B94D60"/>
    <w:rsid w:val="00BB2B5D"/>
    <w:rsid w:val="00BB2DA8"/>
    <w:rsid w:val="00BB569A"/>
    <w:rsid w:val="00BB6C18"/>
    <w:rsid w:val="00BC192C"/>
    <w:rsid w:val="00BC1B7B"/>
    <w:rsid w:val="00BD39DE"/>
    <w:rsid w:val="00BE44F0"/>
    <w:rsid w:val="00BF332E"/>
    <w:rsid w:val="00C00F85"/>
    <w:rsid w:val="00C055B8"/>
    <w:rsid w:val="00C10B58"/>
    <w:rsid w:val="00C16651"/>
    <w:rsid w:val="00C219FF"/>
    <w:rsid w:val="00C56C57"/>
    <w:rsid w:val="00C631DE"/>
    <w:rsid w:val="00C65A3D"/>
    <w:rsid w:val="00C82366"/>
    <w:rsid w:val="00C83440"/>
    <w:rsid w:val="00C87459"/>
    <w:rsid w:val="00C9261D"/>
    <w:rsid w:val="00CA760E"/>
    <w:rsid w:val="00CB3C74"/>
    <w:rsid w:val="00CC041E"/>
    <w:rsid w:val="00CC76E3"/>
    <w:rsid w:val="00CD38C5"/>
    <w:rsid w:val="00CD4D1A"/>
    <w:rsid w:val="00CD517B"/>
    <w:rsid w:val="00CE692F"/>
    <w:rsid w:val="00CF00F8"/>
    <w:rsid w:val="00CF02D0"/>
    <w:rsid w:val="00D02358"/>
    <w:rsid w:val="00D036F4"/>
    <w:rsid w:val="00D043C8"/>
    <w:rsid w:val="00D21BD8"/>
    <w:rsid w:val="00D22A75"/>
    <w:rsid w:val="00D23694"/>
    <w:rsid w:val="00D50477"/>
    <w:rsid w:val="00D55420"/>
    <w:rsid w:val="00D64FA2"/>
    <w:rsid w:val="00D66E67"/>
    <w:rsid w:val="00D67E4E"/>
    <w:rsid w:val="00D77E88"/>
    <w:rsid w:val="00D8200A"/>
    <w:rsid w:val="00D900A5"/>
    <w:rsid w:val="00D91CCC"/>
    <w:rsid w:val="00D95743"/>
    <w:rsid w:val="00D958A1"/>
    <w:rsid w:val="00DA552C"/>
    <w:rsid w:val="00DB734D"/>
    <w:rsid w:val="00DC07EB"/>
    <w:rsid w:val="00DC57EE"/>
    <w:rsid w:val="00DD46E0"/>
    <w:rsid w:val="00DF09D8"/>
    <w:rsid w:val="00E2046E"/>
    <w:rsid w:val="00E228E3"/>
    <w:rsid w:val="00E44A12"/>
    <w:rsid w:val="00E4652D"/>
    <w:rsid w:val="00E55A42"/>
    <w:rsid w:val="00E55B18"/>
    <w:rsid w:val="00E610CD"/>
    <w:rsid w:val="00E61974"/>
    <w:rsid w:val="00E64473"/>
    <w:rsid w:val="00E65517"/>
    <w:rsid w:val="00E6793E"/>
    <w:rsid w:val="00E67B37"/>
    <w:rsid w:val="00E70E08"/>
    <w:rsid w:val="00E73656"/>
    <w:rsid w:val="00E7472D"/>
    <w:rsid w:val="00EA6F26"/>
    <w:rsid w:val="00EB6CEE"/>
    <w:rsid w:val="00EC5A44"/>
    <w:rsid w:val="00EE23C6"/>
    <w:rsid w:val="00EE3959"/>
    <w:rsid w:val="00EE6014"/>
    <w:rsid w:val="00EF0FBC"/>
    <w:rsid w:val="00EF35A2"/>
    <w:rsid w:val="00EF5CA9"/>
    <w:rsid w:val="00EF6F2F"/>
    <w:rsid w:val="00F128E5"/>
    <w:rsid w:val="00F22C2E"/>
    <w:rsid w:val="00F46B57"/>
    <w:rsid w:val="00F4743D"/>
    <w:rsid w:val="00F60EBA"/>
    <w:rsid w:val="00F9087B"/>
    <w:rsid w:val="00F90A76"/>
    <w:rsid w:val="00F94D1C"/>
    <w:rsid w:val="00F954E8"/>
    <w:rsid w:val="00F960EE"/>
    <w:rsid w:val="00FB32E2"/>
    <w:rsid w:val="00FB3B29"/>
    <w:rsid w:val="00FB69DD"/>
    <w:rsid w:val="00FC0297"/>
    <w:rsid w:val="00FD3CDB"/>
    <w:rsid w:val="00FE2E5F"/>
    <w:rsid w:val="00FE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7A655"/>
  <w15:chartTrackingRefBased/>
  <w15:docId w15:val="{0991A226-1543-4132-9BD2-F63F64BC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D58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822"/>
    <w:rPr>
      <w:b/>
      <w:bCs/>
    </w:rPr>
  </w:style>
  <w:style w:type="character" w:styleId="Hyperlink">
    <w:name w:val="Hyperlink"/>
    <w:basedOn w:val="DefaultParagraphFont"/>
    <w:uiPriority w:val="99"/>
    <w:unhideWhenUsed/>
    <w:rsid w:val="005D5822"/>
    <w:rPr>
      <w:color w:val="0000FF"/>
      <w:u w:val="single"/>
    </w:rPr>
  </w:style>
  <w:style w:type="paragraph" w:customStyle="1" w:styleId="xxxyiv4473534989msonormal">
    <w:name w:val="x_x_xyiv4473534989msonormal"/>
    <w:basedOn w:val="Normal"/>
    <w:rsid w:val="005D58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5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spacing">
    <w:name w:val="x_x_msonospacing"/>
    <w:basedOn w:val="Normal"/>
    <w:rsid w:val="005D5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_msolistparagraph"/>
    <w:basedOn w:val="Normal"/>
    <w:rsid w:val="005D5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ydp633b573ayiv9990441176msonormal">
    <w:name w:val="x_x_ydp633b573ayiv9990441176msonormal"/>
    <w:basedOn w:val="Normal"/>
    <w:rsid w:val="005D582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740"/>
    <w:rPr>
      <w:color w:val="605E5C"/>
      <w:shd w:val="clear" w:color="auto" w:fill="E1DFDD"/>
    </w:rPr>
  </w:style>
  <w:style w:type="paragraph" w:styleId="Header">
    <w:name w:val="header"/>
    <w:basedOn w:val="Normal"/>
    <w:link w:val="HeaderChar"/>
    <w:uiPriority w:val="99"/>
    <w:unhideWhenUsed/>
    <w:rsid w:val="00B70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66"/>
  </w:style>
  <w:style w:type="paragraph" w:styleId="Footer">
    <w:name w:val="footer"/>
    <w:basedOn w:val="Normal"/>
    <w:link w:val="FooterChar"/>
    <w:uiPriority w:val="99"/>
    <w:unhideWhenUsed/>
    <w:rsid w:val="00B7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66"/>
  </w:style>
  <w:style w:type="paragraph" w:styleId="NoSpacing">
    <w:name w:val="No Spacing"/>
    <w:uiPriority w:val="1"/>
    <w:qFormat/>
    <w:rsid w:val="002175A2"/>
    <w:pPr>
      <w:spacing w:after="0" w:line="240" w:lineRule="auto"/>
    </w:pPr>
  </w:style>
  <w:style w:type="character" w:styleId="CommentReference">
    <w:name w:val="annotation reference"/>
    <w:basedOn w:val="DefaultParagraphFont"/>
    <w:uiPriority w:val="99"/>
    <w:semiHidden/>
    <w:unhideWhenUsed/>
    <w:rsid w:val="00AB5640"/>
    <w:rPr>
      <w:sz w:val="16"/>
      <w:szCs w:val="16"/>
    </w:rPr>
  </w:style>
  <w:style w:type="paragraph" w:styleId="CommentText">
    <w:name w:val="annotation text"/>
    <w:basedOn w:val="Normal"/>
    <w:link w:val="CommentTextChar"/>
    <w:uiPriority w:val="99"/>
    <w:unhideWhenUsed/>
    <w:rsid w:val="00AB5640"/>
    <w:pPr>
      <w:spacing w:line="240" w:lineRule="auto"/>
    </w:pPr>
    <w:rPr>
      <w:sz w:val="20"/>
      <w:szCs w:val="20"/>
    </w:rPr>
  </w:style>
  <w:style w:type="character" w:customStyle="1" w:styleId="CommentTextChar">
    <w:name w:val="Comment Text Char"/>
    <w:basedOn w:val="DefaultParagraphFont"/>
    <w:link w:val="CommentText"/>
    <w:uiPriority w:val="99"/>
    <w:rsid w:val="00AB5640"/>
    <w:rPr>
      <w:sz w:val="20"/>
      <w:szCs w:val="20"/>
    </w:rPr>
  </w:style>
  <w:style w:type="paragraph" w:styleId="CommentSubject">
    <w:name w:val="annotation subject"/>
    <w:basedOn w:val="CommentText"/>
    <w:next w:val="CommentText"/>
    <w:link w:val="CommentSubjectChar"/>
    <w:uiPriority w:val="99"/>
    <w:semiHidden/>
    <w:unhideWhenUsed/>
    <w:rsid w:val="00AB5640"/>
    <w:rPr>
      <w:b/>
      <w:bCs/>
    </w:rPr>
  </w:style>
  <w:style w:type="character" w:customStyle="1" w:styleId="CommentSubjectChar">
    <w:name w:val="Comment Subject Char"/>
    <w:basedOn w:val="CommentTextChar"/>
    <w:link w:val="CommentSubject"/>
    <w:uiPriority w:val="99"/>
    <w:semiHidden/>
    <w:rsid w:val="00AB5640"/>
    <w:rPr>
      <w:b/>
      <w:bCs/>
      <w:sz w:val="20"/>
      <w:szCs w:val="20"/>
    </w:rPr>
  </w:style>
  <w:style w:type="paragraph" w:styleId="Revision">
    <w:name w:val="Revision"/>
    <w:hidden/>
    <w:uiPriority w:val="99"/>
    <w:semiHidden/>
    <w:rsid w:val="003D6DC7"/>
    <w:pPr>
      <w:spacing w:after="0" w:line="240" w:lineRule="auto"/>
    </w:pPr>
  </w:style>
  <w:style w:type="paragraph" w:styleId="ListParagraph">
    <w:name w:val="List Paragraph"/>
    <w:basedOn w:val="Normal"/>
    <w:uiPriority w:val="34"/>
    <w:qFormat/>
    <w:rsid w:val="00A92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2248">
      <w:bodyDiv w:val="1"/>
      <w:marLeft w:val="0"/>
      <w:marRight w:val="0"/>
      <w:marTop w:val="0"/>
      <w:marBottom w:val="0"/>
      <w:divBdr>
        <w:top w:val="none" w:sz="0" w:space="0" w:color="auto"/>
        <w:left w:val="none" w:sz="0" w:space="0" w:color="auto"/>
        <w:bottom w:val="none" w:sz="0" w:space="0" w:color="auto"/>
        <w:right w:val="none" w:sz="0" w:space="0" w:color="auto"/>
      </w:divBdr>
    </w:div>
    <w:div w:id="1239558150">
      <w:bodyDiv w:val="1"/>
      <w:marLeft w:val="0"/>
      <w:marRight w:val="0"/>
      <w:marTop w:val="0"/>
      <w:marBottom w:val="0"/>
      <w:divBdr>
        <w:top w:val="none" w:sz="0" w:space="0" w:color="auto"/>
        <w:left w:val="none" w:sz="0" w:space="0" w:color="auto"/>
        <w:bottom w:val="none" w:sz="0" w:space="0" w:color="auto"/>
        <w:right w:val="none" w:sz="0" w:space="0" w:color="auto"/>
      </w:divBdr>
    </w:div>
    <w:div w:id="19750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iplweb.linkintime.co.in/formsreg/submission-of-form-15g-15h.html" TargetMode="External"/><Relationship Id="rId18" Type="http://schemas.openxmlformats.org/officeDocument/2006/relationships/hyperlink" Target="https://linkintime.co.in/website/GoGreen/2021/Update/Lupin_Limited/Lupin_AnnexureIII_Declaration_of_category_of_shareholder.DOCX" TargetMode="External"/><Relationship Id="rId3" Type="http://schemas.openxmlformats.org/officeDocument/2006/relationships/styles" Target="styles.xml"/><Relationship Id="rId21" Type="http://schemas.openxmlformats.org/officeDocument/2006/relationships/hyperlink" Target="https://linkintime.co.in/website/GoGreen/2021/Update/Lupin_Limited/Lupin_AnnexureIV_FORM_10F.DOCX" TargetMode="External"/><Relationship Id="rId7" Type="http://schemas.openxmlformats.org/officeDocument/2006/relationships/endnotes" Target="endnotes.xml"/><Relationship Id="rId12" Type="http://schemas.openxmlformats.org/officeDocument/2006/relationships/hyperlink" Target="https://liiplweb.linkintime.co.in/formsreg/submission-of-form-15g-15h.html" TargetMode="External"/><Relationship Id="rId17" Type="http://schemas.openxmlformats.org/officeDocument/2006/relationships/hyperlink" Target="https://linkintime.co.in/website/GoGreen/2021/Update/Lupin_Limited/Lupin_AnnexureII_FORM_15H.DOCX" TargetMode="External"/><Relationship Id="rId2" Type="http://schemas.openxmlformats.org/officeDocument/2006/relationships/numbering" Target="numbering.xml"/><Relationship Id="rId16" Type="http://schemas.openxmlformats.org/officeDocument/2006/relationships/hyperlink" Target="https://linkintime.co.in/website/GoGreen/2021/Update/Lupin_Limited/Lupin_AnnexureI_FORM_15G.DOCX" TargetMode="External"/><Relationship Id="rId20" Type="http://schemas.openxmlformats.org/officeDocument/2006/relationships/hyperlink" Target="https://linkintime.co.in/website/GoGreen/2021/Update/Lupin_Limited/Lupin_AnnexureIII_Declaration_of_category_of_shareholde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iplweb.linkintime.co.in/formsreg/submission-of-form-15g-15h.html" TargetMode="External"/><Relationship Id="rId5" Type="http://schemas.openxmlformats.org/officeDocument/2006/relationships/webSettings" Target="webSettings.xml"/><Relationship Id="rId15" Type="http://schemas.openxmlformats.org/officeDocument/2006/relationships/hyperlink" Target="https://linkintime.co.in/emailreg/email_register.html" TargetMode="External"/><Relationship Id="rId23" Type="http://schemas.openxmlformats.org/officeDocument/2006/relationships/theme" Target="theme/theme1.xml"/><Relationship Id="rId10" Type="http://schemas.openxmlformats.org/officeDocument/2006/relationships/hyperlink" Target="http://www.lupin.com/" TargetMode="External"/><Relationship Id="rId19" Type="http://schemas.openxmlformats.org/officeDocument/2006/relationships/hyperlink" Target="https://linkintime.co.in/website/GoGreen/2021/Update/Lupin_Limited/Lupin_AnnexureIII_Declaration_of_category_of_shareholder.DOCX" TargetMode="External"/><Relationship Id="rId4" Type="http://schemas.openxmlformats.org/officeDocument/2006/relationships/settings" Target="settings.xml"/><Relationship Id="rId9" Type="http://schemas.openxmlformats.org/officeDocument/2006/relationships/hyperlink" Target="mailto:investorservices@lupin.com" TargetMode="External"/><Relationship Id="rId14" Type="http://schemas.openxmlformats.org/officeDocument/2006/relationships/hyperlink" Target="https://www.incometax.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1CAD-4D05-4979-85E4-749BB920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Salian</dc:creator>
  <cp:keywords/>
  <dc:description/>
  <cp:lastModifiedBy>Harish Salian</cp:lastModifiedBy>
  <cp:revision>4</cp:revision>
  <cp:lastPrinted>2024-06-05T11:42:00Z</cp:lastPrinted>
  <dcterms:created xsi:type="dcterms:W3CDTF">2024-06-05T05:39:00Z</dcterms:created>
  <dcterms:modified xsi:type="dcterms:W3CDTF">2024-06-05T12:47:00Z</dcterms:modified>
</cp:coreProperties>
</file>